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idowControl/>
        <w:spacing w:line="560" w:lineRule="exact"/>
        <w:ind w:firstLine="560"/>
        <w:jc w:val="left"/>
        <w:rPr>
          <w:rFonts w:hint="eastAsia" w:ascii="Times New Roman" w:hAnsi="Times New Roman" w:eastAsia="宋体" w:cs="宋体"/>
          <w:bCs/>
          <w:kern w:val="0"/>
          <w:sz w:val="28"/>
          <w:szCs w:val="28"/>
        </w:rPr>
      </w:pPr>
    </w:p>
    <w:p>
      <w:pPr>
        <w:pStyle w:val="13"/>
        <w:spacing w:line="560" w:lineRule="exact"/>
        <w:ind w:left="426" w:firstLine="0" w:firstLineChars="0"/>
        <w:jc w:val="center"/>
        <w:rPr>
          <w:rFonts w:hint="eastAsia" w:ascii="Times New Roman" w:hAnsi="Times New Roman" w:eastAsia="宋体" w:cs="宋体"/>
          <w:color w:val="auto"/>
          <w:sz w:val="28"/>
          <w:szCs w:val="28"/>
        </w:rPr>
      </w:pPr>
    </w:p>
    <w:p>
      <w:pPr>
        <w:pStyle w:val="13"/>
        <w:spacing w:line="560" w:lineRule="exact"/>
        <w:ind w:left="426" w:firstLine="0" w:firstLineChars="0"/>
        <w:jc w:val="center"/>
        <w:rPr>
          <w:rFonts w:hint="eastAsia" w:ascii="Times New Roman" w:hAnsi="Times New Roman" w:eastAsia="宋体" w:cs="宋体"/>
          <w:color w:val="auto"/>
          <w:sz w:val="28"/>
          <w:szCs w:val="28"/>
        </w:rPr>
      </w:pPr>
    </w:p>
    <w:p>
      <w:pPr>
        <w:pStyle w:val="13"/>
        <w:spacing w:line="560" w:lineRule="exact"/>
        <w:ind w:left="426" w:firstLine="0" w:firstLineChars="0"/>
        <w:jc w:val="center"/>
        <w:rPr>
          <w:rFonts w:hint="eastAsia" w:ascii="Times New Roman" w:hAnsi="Times New Roman" w:eastAsia="宋体" w:cs="宋体"/>
          <w:color w:val="auto"/>
          <w:sz w:val="28"/>
          <w:szCs w:val="28"/>
        </w:rPr>
      </w:pPr>
    </w:p>
    <w:p>
      <w:pPr>
        <w:pStyle w:val="13"/>
        <w:spacing w:line="560" w:lineRule="exact"/>
        <w:ind w:left="426" w:firstLine="0" w:firstLineChars="0"/>
        <w:jc w:val="center"/>
        <w:rPr>
          <w:rFonts w:hint="eastAsia" w:ascii="Times New Roman" w:hAnsi="Times New Roman" w:eastAsia="宋体" w:cs="宋体"/>
          <w:color w:val="auto"/>
          <w:sz w:val="28"/>
          <w:szCs w:val="28"/>
        </w:rPr>
      </w:pPr>
    </w:p>
    <w:p>
      <w:pPr>
        <w:pStyle w:val="2"/>
        <w:keepNext w:val="0"/>
        <w:keepLines w:val="0"/>
        <w:pageBreakBefore w:val="0"/>
        <w:widowControl w:val="0"/>
        <w:kinsoku/>
        <w:wordWrap/>
        <w:overflowPunct w:val="0"/>
        <w:topLinePunct w:val="0"/>
        <w:autoSpaceDE/>
        <w:autoSpaceDN/>
        <w:bidi w:val="0"/>
        <w:adjustRightInd/>
        <w:snapToGrid w:val="0"/>
        <w:spacing w:before="0" w:beforeAutospacing="0" w:after="0" w:afterAutospacing="0" w:line="240" w:lineRule="auto"/>
        <w:jc w:val="center"/>
        <w:textAlignment w:val="auto"/>
        <w:rPr>
          <w:rFonts w:hint="eastAsia" w:ascii="Times New Roman" w:hAnsi="Times New Roman" w:eastAsia="方正小标宋简体" w:cs="方正小标宋简体"/>
          <w:b w:val="0"/>
          <w:bCs w:val="0"/>
          <w:spacing w:val="23"/>
          <w:sz w:val="44"/>
          <w:szCs w:val="44"/>
        </w:rPr>
      </w:pPr>
      <w:r>
        <w:rPr>
          <w:rFonts w:hint="eastAsia" w:ascii="Times New Roman" w:hAnsi="Times New Roman" w:eastAsia="方正小标宋简体" w:cs="方正小标宋简体"/>
          <w:b w:val="0"/>
          <w:bCs w:val="0"/>
          <w:spacing w:val="23"/>
          <w:sz w:val="44"/>
          <w:szCs w:val="44"/>
        </w:rPr>
        <w:t>糖尿病专病特色科室建设</w:t>
      </w:r>
    </w:p>
    <w:p>
      <w:pPr>
        <w:pStyle w:val="2"/>
        <w:keepNext w:val="0"/>
        <w:keepLines w:val="0"/>
        <w:pageBreakBefore w:val="0"/>
        <w:widowControl w:val="0"/>
        <w:kinsoku/>
        <w:wordWrap/>
        <w:overflowPunct w:val="0"/>
        <w:topLinePunct w:val="0"/>
        <w:autoSpaceDE/>
        <w:autoSpaceDN/>
        <w:bidi w:val="0"/>
        <w:adjustRightInd/>
        <w:snapToGrid w:val="0"/>
        <w:spacing w:before="0" w:beforeAutospacing="0" w:after="0" w:afterAutospacing="0" w:line="240" w:lineRule="auto"/>
        <w:jc w:val="center"/>
        <w:textAlignment w:val="auto"/>
        <w:rPr>
          <w:rFonts w:hint="eastAsia" w:ascii="Times New Roman" w:hAnsi="Times New Roman" w:eastAsia="方正小标宋简体" w:cs="方正小标宋简体"/>
          <w:b w:val="0"/>
          <w:bCs w:val="0"/>
          <w:spacing w:val="23"/>
          <w:sz w:val="44"/>
          <w:szCs w:val="44"/>
        </w:rPr>
      </w:pPr>
      <w:r>
        <w:rPr>
          <w:rFonts w:hint="eastAsia" w:ascii="Times New Roman" w:hAnsi="Times New Roman" w:eastAsia="方正小标宋简体" w:cs="方正小标宋简体"/>
          <w:b w:val="0"/>
          <w:bCs w:val="0"/>
          <w:spacing w:val="23"/>
          <w:sz w:val="44"/>
          <w:szCs w:val="44"/>
        </w:rPr>
        <w:t>工作方案及规章制度</w:t>
      </w:r>
    </w:p>
    <w:p>
      <w:pPr>
        <w:autoSpaceDE w:val="0"/>
        <w:autoSpaceDN w:val="0"/>
        <w:adjustRightInd w:val="0"/>
        <w:jc w:val="center"/>
        <w:rPr>
          <w:rFonts w:hint="eastAsia" w:ascii="Times New Roman" w:hAnsi="Times New Roman" w:eastAsia="宋体" w:cs="宋体"/>
          <w:color w:val="auto"/>
          <w:kern w:val="0"/>
          <w:sz w:val="28"/>
          <w:szCs w:val="28"/>
        </w:rPr>
      </w:pPr>
    </w:p>
    <w:p>
      <w:pPr>
        <w:pStyle w:val="13"/>
        <w:spacing w:line="560" w:lineRule="exact"/>
        <w:ind w:left="426" w:firstLine="0" w:firstLineChars="0"/>
        <w:jc w:val="center"/>
        <w:rPr>
          <w:rFonts w:hint="eastAsia" w:ascii="Times New Roman" w:hAnsi="Times New Roman" w:eastAsia="宋体" w:cs="宋体"/>
          <w:color w:val="auto"/>
          <w:sz w:val="28"/>
          <w:szCs w:val="28"/>
        </w:rPr>
      </w:pPr>
    </w:p>
    <w:p>
      <w:pPr>
        <w:pStyle w:val="13"/>
        <w:spacing w:line="560" w:lineRule="exact"/>
        <w:ind w:left="426" w:firstLine="0" w:firstLineChars="0"/>
        <w:jc w:val="center"/>
        <w:rPr>
          <w:rFonts w:hint="eastAsia" w:ascii="Times New Roman" w:hAnsi="Times New Roman" w:eastAsia="宋体" w:cs="宋体"/>
          <w:color w:val="auto"/>
          <w:sz w:val="28"/>
          <w:szCs w:val="28"/>
        </w:rPr>
      </w:pPr>
    </w:p>
    <w:p>
      <w:pPr>
        <w:pStyle w:val="13"/>
        <w:spacing w:line="560" w:lineRule="exact"/>
        <w:ind w:left="426" w:firstLine="0" w:firstLineChars="0"/>
        <w:jc w:val="center"/>
        <w:rPr>
          <w:rFonts w:hint="eastAsia" w:ascii="Times New Roman" w:hAnsi="Times New Roman" w:eastAsia="宋体" w:cs="宋体"/>
          <w:color w:val="auto"/>
          <w:sz w:val="28"/>
          <w:szCs w:val="28"/>
        </w:rPr>
      </w:pPr>
    </w:p>
    <w:p>
      <w:pPr>
        <w:pStyle w:val="13"/>
        <w:spacing w:line="560" w:lineRule="exact"/>
        <w:ind w:left="426" w:firstLine="0" w:firstLineChars="0"/>
        <w:jc w:val="center"/>
        <w:rPr>
          <w:rFonts w:hint="eastAsia" w:ascii="Times New Roman" w:hAnsi="Times New Roman" w:eastAsia="宋体" w:cs="宋体"/>
          <w:color w:val="auto"/>
          <w:sz w:val="28"/>
          <w:szCs w:val="28"/>
        </w:rPr>
      </w:pPr>
    </w:p>
    <w:p>
      <w:pPr>
        <w:pStyle w:val="13"/>
        <w:spacing w:line="560" w:lineRule="exact"/>
        <w:ind w:left="426" w:firstLine="0" w:firstLineChars="0"/>
        <w:jc w:val="center"/>
        <w:rPr>
          <w:rFonts w:hint="eastAsia" w:ascii="Times New Roman" w:hAnsi="Times New Roman" w:eastAsia="宋体" w:cs="宋体"/>
          <w:color w:val="auto"/>
          <w:sz w:val="28"/>
          <w:szCs w:val="28"/>
        </w:rPr>
      </w:pPr>
    </w:p>
    <w:p>
      <w:pPr>
        <w:pStyle w:val="13"/>
        <w:spacing w:line="560" w:lineRule="exact"/>
        <w:ind w:left="426" w:firstLine="0" w:firstLineChars="0"/>
        <w:jc w:val="center"/>
        <w:rPr>
          <w:rFonts w:hint="eastAsia" w:ascii="Times New Roman" w:hAnsi="Times New Roman" w:eastAsia="宋体" w:cs="宋体"/>
          <w:color w:val="auto"/>
          <w:sz w:val="28"/>
          <w:szCs w:val="28"/>
        </w:rPr>
      </w:pPr>
    </w:p>
    <w:p>
      <w:pPr>
        <w:pStyle w:val="13"/>
        <w:spacing w:line="560" w:lineRule="exact"/>
        <w:ind w:left="426" w:firstLine="0" w:firstLineChars="0"/>
        <w:jc w:val="center"/>
        <w:rPr>
          <w:rFonts w:hint="eastAsia" w:ascii="Times New Roman" w:hAnsi="Times New Roman" w:eastAsia="宋体" w:cs="宋体"/>
          <w:color w:val="auto"/>
          <w:sz w:val="28"/>
          <w:szCs w:val="28"/>
        </w:rPr>
      </w:pPr>
    </w:p>
    <w:p>
      <w:pPr>
        <w:pStyle w:val="13"/>
        <w:spacing w:line="560" w:lineRule="exact"/>
        <w:ind w:left="426" w:firstLine="0" w:firstLineChars="0"/>
        <w:jc w:val="center"/>
        <w:rPr>
          <w:rFonts w:hint="eastAsia" w:ascii="Times New Roman" w:hAnsi="Times New Roman" w:eastAsia="宋体" w:cs="宋体"/>
          <w:color w:val="auto"/>
          <w:sz w:val="28"/>
          <w:szCs w:val="28"/>
        </w:rPr>
      </w:pPr>
    </w:p>
    <w:p>
      <w:pPr>
        <w:pStyle w:val="13"/>
        <w:spacing w:line="560" w:lineRule="exact"/>
        <w:ind w:left="426" w:firstLine="0" w:firstLineChars="0"/>
        <w:jc w:val="center"/>
        <w:rPr>
          <w:rFonts w:hint="eastAsia" w:ascii="Times New Roman" w:hAnsi="Times New Roman" w:eastAsia="宋体" w:cs="宋体"/>
          <w:color w:val="auto"/>
          <w:sz w:val="28"/>
          <w:szCs w:val="28"/>
        </w:rPr>
      </w:pPr>
    </w:p>
    <w:p>
      <w:pPr>
        <w:pStyle w:val="13"/>
        <w:spacing w:line="560" w:lineRule="exact"/>
        <w:ind w:left="426" w:firstLine="0" w:firstLineChars="0"/>
        <w:jc w:val="center"/>
        <w:rPr>
          <w:rFonts w:hint="eastAsia" w:ascii="Times New Roman" w:hAnsi="Times New Roman" w:eastAsia="宋体" w:cs="宋体"/>
          <w:color w:val="auto"/>
          <w:sz w:val="28"/>
          <w:szCs w:val="28"/>
        </w:rPr>
      </w:pPr>
    </w:p>
    <w:p>
      <w:pPr>
        <w:pStyle w:val="13"/>
        <w:spacing w:line="560" w:lineRule="exact"/>
        <w:ind w:left="426" w:firstLine="0" w:firstLineChars="0"/>
        <w:jc w:val="center"/>
        <w:rPr>
          <w:rFonts w:hint="eastAsia" w:ascii="Times New Roman" w:hAnsi="Times New Roman" w:eastAsia="宋体" w:cs="宋体"/>
          <w:color w:val="auto"/>
          <w:sz w:val="28"/>
          <w:szCs w:val="28"/>
        </w:rPr>
      </w:pPr>
    </w:p>
    <w:p>
      <w:pPr>
        <w:pStyle w:val="13"/>
        <w:spacing w:line="560" w:lineRule="exact"/>
        <w:ind w:left="426" w:firstLine="0" w:firstLineChars="0"/>
        <w:jc w:val="center"/>
        <w:rPr>
          <w:rFonts w:hint="eastAsia" w:ascii="Times New Roman" w:hAnsi="Times New Roman" w:eastAsia="宋体" w:cs="宋体"/>
          <w:color w:val="auto"/>
          <w:sz w:val="28"/>
          <w:szCs w:val="28"/>
        </w:rPr>
      </w:pPr>
    </w:p>
    <w:p>
      <w:pPr>
        <w:pStyle w:val="13"/>
        <w:spacing w:line="560" w:lineRule="exact"/>
        <w:ind w:left="426" w:firstLine="0" w:firstLineChars="0"/>
        <w:jc w:val="center"/>
        <w:rPr>
          <w:rFonts w:hint="eastAsia" w:ascii="黑体" w:hAnsi="黑体" w:eastAsia="黑体" w:cs="黑体"/>
          <w:color w:val="auto"/>
          <w:sz w:val="32"/>
          <w:szCs w:val="32"/>
        </w:rPr>
      </w:pPr>
      <w:r>
        <w:rPr>
          <w:rFonts w:hint="eastAsia" w:ascii="黑体" w:hAnsi="黑体" w:eastAsia="黑体" w:cs="黑体"/>
          <w:color w:val="auto"/>
          <w:sz w:val="32"/>
          <w:szCs w:val="32"/>
        </w:rPr>
        <w:t>XXX社区卫生服务中心</w:t>
      </w:r>
    </w:p>
    <w:p>
      <w:pPr>
        <w:pStyle w:val="13"/>
        <w:spacing w:line="560" w:lineRule="exact"/>
        <w:ind w:left="426" w:firstLine="0" w:firstLineChars="0"/>
        <w:jc w:val="center"/>
        <w:rPr>
          <w:rFonts w:hint="eastAsia" w:ascii="黑体" w:hAnsi="黑体" w:eastAsia="黑体" w:cs="黑体"/>
          <w:color w:val="auto"/>
          <w:sz w:val="32"/>
          <w:szCs w:val="32"/>
        </w:rPr>
      </w:pPr>
      <w:r>
        <w:rPr>
          <w:rFonts w:hint="eastAsia" w:ascii="黑体" w:hAnsi="黑体" w:eastAsia="黑体" w:cs="黑体"/>
          <w:color w:val="auto"/>
          <w:sz w:val="32"/>
          <w:szCs w:val="32"/>
        </w:rPr>
        <w:t>2022年9月</w:t>
      </w:r>
    </w:p>
    <w:p>
      <w:pPr>
        <w:rPr>
          <w:rFonts w:hint="eastAsia" w:ascii="黑体" w:hAnsi="黑体" w:eastAsia="黑体" w:cs="黑体"/>
          <w:sz w:val="36"/>
          <w:szCs w:val="36"/>
        </w:rPr>
      </w:pPr>
      <w:r>
        <w:rPr>
          <w:rFonts w:hint="eastAsia" w:ascii="黑体" w:hAnsi="黑体" w:eastAsia="黑体" w:cs="黑体"/>
          <w:sz w:val="36"/>
          <w:szCs w:val="36"/>
        </w:rPr>
        <w:br w:type="page"/>
      </w:r>
    </w:p>
    <w:p>
      <w:pPr>
        <w:pStyle w:val="13"/>
        <w:spacing w:line="560" w:lineRule="exact"/>
        <w:ind w:left="426" w:firstLine="0" w:firstLineChars="0"/>
        <w:jc w:val="center"/>
        <w:rPr>
          <w:rFonts w:hint="eastAsia" w:ascii="Times New Roman" w:hAnsi="Times New Roman" w:eastAsia="宋体" w:cs="宋体"/>
          <w:color w:val="auto"/>
          <w:sz w:val="28"/>
          <w:szCs w:val="28"/>
        </w:rPr>
      </w:pPr>
    </w:p>
    <w:p>
      <w:pPr>
        <w:pStyle w:val="13"/>
        <w:spacing w:line="560" w:lineRule="exact"/>
        <w:ind w:left="426" w:firstLine="0" w:firstLineChars="0"/>
        <w:jc w:val="center"/>
        <w:rPr>
          <w:rFonts w:hint="eastAsia" w:ascii="黑体" w:hAnsi="黑体" w:eastAsia="黑体" w:cs="黑体"/>
          <w:color w:val="auto"/>
          <w:sz w:val="32"/>
          <w:szCs w:val="32"/>
        </w:rPr>
      </w:pPr>
      <w:r>
        <w:rPr>
          <w:rFonts w:hint="eastAsia" w:ascii="黑体" w:hAnsi="黑体" w:eastAsia="黑体" w:cs="黑体"/>
          <w:color w:val="auto"/>
          <w:sz w:val="32"/>
          <w:szCs w:val="32"/>
        </w:rPr>
        <w:t>目  录</w:t>
      </w:r>
    </w:p>
    <w:p>
      <w:pPr>
        <w:pStyle w:val="13"/>
        <w:spacing w:line="560" w:lineRule="exact"/>
        <w:ind w:left="426" w:firstLine="0" w:firstLineChars="0"/>
        <w:jc w:val="center"/>
        <w:rPr>
          <w:rFonts w:hint="eastAsia" w:ascii="Times New Roman" w:hAnsi="Times New Roman" w:eastAsia="宋体" w:cs="宋体"/>
          <w:color w:val="auto"/>
          <w:sz w:val="28"/>
          <w:szCs w:val="28"/>
        </w:rPr>
      </w:pP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1.</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糖尿病专病特色科室工作方案</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3</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 xml:space="preserve"> </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 xml:space="preserve"> 附件1:</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糖尿病门诊简介</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5</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 xml:space="preserve"> </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 xml:space="preserve"> 附件2: 糖尿病门诊服务流程</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6</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2.</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科室管理制度</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7</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3.</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科室人员培训制度</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8</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4.</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科室人员岗位职责</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9</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5.</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科室人员管理制度</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12</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6.</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绩效考核制度</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13</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7.</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医疗质量管理制度</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15</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8.</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设备设施管理制度</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16</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9.</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双向转诊制度</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17</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10.</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患者健康教育制度</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19</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11.</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医疗风险防控预案</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20</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12.</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糖尿病诊疗流程</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23</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13.</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糖尿病患者家庭医生签约服务项目清单</w:t>
      </w:r>
      <w:r>
        <w:rPr>
          <w:rFonts w:hint="eastAsia" w:ascii="Times New Roman" w:hAnsi="Times New Roman" w:eastAsia="宋体" w:cs="宋体"/>
          <w:color w:val="auto"/>
          <w:kern w:val="0"/>
          <w:sz w:val="28"/>
          <w:szCs w:val="28"/>
          <w:lang w:eastAsia="zh-CN"/>
        </w:rPr>
        <w:t>（参考版）</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24</w:t>
      </w:r>
    </w:p>
    <w:p>
      <w:pPr>
        <w:rPr>
          <w:rFonts w:hint="eastAsia" w:ascii="黑体" w:hAnsi="黑体" w:eastAsia="黑体" w:cs="黑体"/>
          <w:b w:val="0"/>
          <w:bCs/>
          <w:color w:val="auto"/>
          <w:sz w:val="32"/>
          <w:szCs w:val="32"/>
        </w:rPr>
      </w:pPr>
    </w:p>
    <w:p>
      <w:pPr>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糖尿病专病特色科室工作方案</w:t>
      </w:r>
    </w:p>
    <w:p>
      <w:pPr>
        <w:keepNext w:val="0"/>
        <w:keepLines w:val="0"/>
        <w:pageBreakBefore w:val="0"/>
        <w:widowControl w:val="0"/>
        <w:shd w:val="clear" w:color="auto" w:fill="FFFFFF"/>
        <w:kinsoku/>
        <w:wordWrap/>
        <w:overflowPunct w:val="0"/>
        <w:topLinePunct w:val="0"/>
        <w:bidi w:val="0"/>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根据《北京市卫生健康委员会关于开展社区卫生服务机构专病特色科室建设的通知》京卫基层字【2022】13号文件精神和对工作的具体要求，我中心2022年开展糖尿病特色科室建设，其目的是通过开展糖尿病的早期筛查、诊断、治疗，改善远期预后，延缓和预防糖尿病和糖尿病并发症发病率，提高医务人员对糖尿病的诊治能力和服务水平，将常见病、多发病、诊断明确的慢性病诊治在基层，促进分级诊疗制度的建立和有序的医疗格局形成。</w:t>
      </w:r>
    </w:p>
    <w:p>
      <w:pPr>
        <w:keepNext w:val="0"/>
        <w:keepLines w:val="0"/>
        <w:pageBreakBefore w:val="0"/>
        <w:widowControl w:val="0"/>
        <w:kinsoku/>
        <w:wordWrap/>
        <w:topLinePunct w:val="0"/>
        <w:autoSpaceDE w:val="0"/>
        <w:autoSpaceDN w:val="0"/>
        <w:bidi w:val="0"/>
        <w:adjustRightInd w:val="0"/>
        <w:snapToGrid/>
        <w:spacing w:line="560" w:lineRule="exact"/>
        <w:ind w:firstLine="562" w:firstLineChars="200"/>
        <w:jc w:val="left"/>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一、组织机构及分工</w:t>
      </w:r>
    </w:p>
    <w:p>
      <w:pPr>
        <w:keepNext w:val="0"/>
        <w:keepLines w:val="0"/>
        <w:pageBreakBefore w:val="0"/>
        <w:widowControl w:val="0"/>
        <w:kinsoku/>
        <w:wordWrap/>
        <w:topLinePunct w:val="0"/>
        <w:autoSpaceDE w:val="0"/>
        <w:autoSpaceDN w:val="0"/>
        <w:bidi w:val="0"/>
        <w:adjustRightInd w:val="0"/>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中心成立糖尿病专病特色科室建设领导小组，成员为（XXX......）</w:t>
      </w:r>
    </w:p>
    <w:p>
      <w:pPr>
        <w:keepNext w:val="0"/>
        <w:keepLines w:val="0"/>
        <w:pageBreakBefore w:val="0"/>
        <w:widowControl w:val="0"/>
        <w:kinsoku/>
        <w:wordWrap/>
        <w:topLinePunct w:val="0"/>
        <w:autoSpaceDE w:val="0"/>
        <w:autoSpaceDN w:val="0"/>
        <w:bidi w:val="0"/>
        <w:adjustRightInd w:val="0"/>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XXX中心主任：统筹协调各种资源，保障专病特色科室建设。</w:t>
      </w:r>
    </w:p>
    <w:p>
      <w:pPr>
        <w:keepNext w:val="0"/>
        <w:keepLines w:val="0"/>
        <w:pageBreakBefore w:val="0"/>
        <w:widowControl w:val="0"/>
        <w:kinsoku/>
        <w:wordWrap/>
        <w:topLinePunct w:val="0"/>
        <w:autoSpaceDE w:val="0"/>
        <w:autoSpaceDN w:val="0"/>
        <w:bidi w:val="0"/>
        <w:adjustRightInd w:val="0"/>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XXX分管主任：落实建设项目要求，督促项目进度及执行情况，采取有效措施，解决建设中的困难和问题。</w:t>
      </w:r>
    </w:p>
    <w:p>
      <w:pPr>
        <w:keepNext w:val="0"/>
        <w:keepLines w:val="0"/>
        <w:pageBreakBefore w:val="0"/>
        <w:widowControl w:val="0"/>
        <w:kinsoku/>
        <w:wordWrap/>
        <w:topLinePunct w:val="0"/>
        <w:autoSpaceDE w:val="0"/>
        <w:autoSpaceDN w:val="0"/>
        <w:bidi w:val="0"/>
        <w:adjustRightInd w:val="0"/>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XXX全科主任：在分管主任领导下，全面负责专病特色科室建设的计划、组织实施、建设标准达标，并通过市级验收评估。</w:t>
      </w:r>
    </w:p>
    <w:p>
      <w:pPr>
        <w:keepNext w:val="0"/>
        <w:keepLines w:val="0"/>
        <w:pageBreakBefore w:val="0"/>
        <w:widowControl w:val="0"/>
        <w:kinsoku/>
        <w:wordWrap/>
        <w:topLinePunct w:val="0"/>
        <w:autoSpaceDE w:val="0"/>
        <w:autoSpaceDN w:val="0"/>
        <w:bidi w:val="0"/>
        <w:adjustRightInd w:val="0"/>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专病特色科室成员：按照建设标准配备符合条件的人员，在科主任的带领下规范的开展各项工作(XXX全科主治医师、XXX 医师，XXX 主管护师，XXX 护士）。</w:t>
      </w:r>
    </w:p>
    <w:p>
      <w:pPr>
        <w:keepNext w:val="0"/>
        <w:keepLines w:val="0"/>
        <w:pageBreakBefore w:val="0"/>
        <w:widowControl w:val="0"/>
        <w:kinsoku/>
        <w:wordWrap/>
        <w:topLinePunct w:val="0"/>
        <w:autoSpaceDE w:val="0"/>
        <w:autoSpaceDN w:val="0"/>
        <w:bidi w:val="0"/>
        <w:adjustRightInd w:val="0"/>
        <w:snapToGrid/>
        <w:spacing w:line="560" w:lineRule="exact"/>
        <w:ind w:firstLine="560" w:firstLineChars="200"/>
        <w:jc w:val="left"/>
        <w:textAlignment w:val="auto"/>
        <w:rPr>
          <w:rFonts w:hint="eastAsia" w:ascii="宋体" w:hAnsi="宋体" w:eastAsia="宋体" w:cs="宋体"/>
          <w:b/>
          <w:kern w:val="0"/>
          <w:sz w:val="28"/>
          <w:szCs w:val="28"/>
        </w:rPr>
      </w:pPr>
      <w:r>
        <w:rPr>
          <w:rFonts w:hint="eastAsia" w:ascii="宋体" w:hAnsi="宋体" w:eastAsia="宋体" w:cs="宋体"/>
          <w:kern w:val="0"/>
          <w:sz w:val="28"/>
          <w:szCs w:val="28"/>
        </w:rPr>
        <w:t>二、</w:t>
      </w:r>
      <w:r>
        <w:rPr>
          <w:rFonts w:hint="eastAsia" w:ascii="宋体" w:hAnsi="宋体" w:eastAsia="宋体" w:cs="宋体"/>
          <w:b/>
          <w:kern w:val="0"/>
          <w:sz w:val="28"/>
          <w:szCs w:val="28"/>
        </w:rPr>
        <w:t>设备设施建设</w:t>
      </w:r>
    </w:p>
    <w:p>
      <w:pPr>
        <w:keepNext w:val="0"/>
        <w:keepLines w:val="0"/>
        <w:pageBreakBefore w:val="0"/>
        <w:widowControl w:val="0"/>
        <w:kinsoku/>
        <w:wordWrap/>
        <w:topLinePunct w:val="0"/>
        <w:autoSpaceDE w:val="0"/>
        <w:autoSpaceDN w:val="0"/>
        <w:bidi w:val="0"/>
        <w:adjustRightInd w:val="0"/>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提供独立的业务用房(面积X平方米），配备必要的设备设施，增加与专病相关的辅助检查设备和检查项目，保障业务的顺利开展。</w:t>
      </w:r>
    </w:p>
    <w:p>
      <w:pPr>
        <w:keepNext w:val="0"/>
        <w:keepLines w:val="0"/>
        <w:pageBreakBefore w:val="0"/>
        <w:widowControl w:val="0"/>
        <w:kinsoku/>
        <w:wordWrap/>
        <w:topLinePunct w:val="0"/>
        <w:bidi w:val="0"/>
        <w:snapToGrid/>
        <w:spacing w:line="560" w:lineRule="exact"/>
        <w:ind w:firstLine="562" w:firstLineChars="200"/>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三、专病科室宣传</w:t>
      </w:r>
    </w:p>
    <w:p>
      <w:pPr>
        <w:keepNext w:val="0"/>
        <w:keepLines w:val="0"/>
        <w:pageBreakBefore w:val="0"/>
        <w:widowControl w:val="0"/>
        <w:kinsoku/>
        <w:wordWrap/>
        <w:topLinePunct w:val="0"/>
        <w:bidi w:val="0"/>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以各种形式加大对专病特色科室的宣传力度，按照北京市要求</w:t>
      </w:r>
      <w:r>
        <w:rPr>
          <w:rFonts w:hint="eastAsia" w:ascii="宋体" w:hAnsi="宋体" w:eastAsia="宋体" w:cs="宋体"/>
          <w:sz w:val="28"/>
          <w:szCs w:val="28"/>
        </w:rPr>
        <w:t>制作统一的专病特色科室标牌、科室简介、服务流程（图）及专病宣传板，宣传板定期更换。</w:t>
      </w:r>
    </w:p>
    <w:p>
      <w:pPr>
        <w:pStyle w:val="20"/>
        <w:keepNext w:val="0"/>
        <w:keepLines w:val="0"/>
        <w:pageBreakBefore w:val="0"/>
        <w:widowControl w:val="0"/>
        <w:kinsoku/>
        <w:wordWrap/>
        <w:topLinePunct w:val="0"/>
        <w:bidi w:val="0"/>
        <w:snapToGrid/>
        <w:spacing w:line="560" w:lineRule="exact"/>
        <w:ind w:firstLine="562" w:firstLineChars="200"/>
        <w:jc w:val="left"/>
        <w:textAlignment w:val="auto"/>
        <w:rPr>
          <w:rFonts w:hint="eastAsia" w:ascii="宋体" w:hAnsi="宋体" w:eastAsia="宋体" w:cs="宋体"/>
          <w:b/>
          <w:sz w:val="28"/>
          <w:szCs w:val="28"/>
        </w:rPr>
      </w:pPr>
      <w:r>
        <w:rPr>
          <w:rFonts w:hint="eastAsia" w:ascii="宋体" w:hAnsi="宋体" w:eastAsia="宋体" w:cs="宋体"/>
          <w:b/>
          <w:sz w:val="28"/>
          <w:szCs w:val="28"/>
        </w:rPr>
        <w:t>四、制定规章制度</w:t>
      </w:r>
    </w:p>
    <w:p>
      <w:pPr>
        <w:pStyle w:val="20"/>
        <w:keepNext w:val="0"/>
        <w:keepLines w:val="0"/>
        <w:pageBreakBefore w:val="0"/>
        <w:widowControl w:val="0"/>
        <w:kinsoku/>
        <w:wordWrap/>
        <w:topLinePunct w:val="0"/>
        <w:bidi w:val="0"/>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规章制度简明扼要、重点突出，便于执行。</w:t>
      </w:r>
      <w:r>
        <w:rPr>
          <w:rFonts w:hint="eastAsia" w:ascii="宋体" w:hAnsi="宋体" w:eastAsia="宋体" w:cs="宋体"/>
          <w:sz w:val="28"/>
          <w:szCs w:val="28"/>
        </w:rPr>
        <w:t>包括但不限</w:t>
      </w:r>
      <w:r>
        <w:rPr>
          <w:rFonts w:hint="eastAsia" w:ascii="宋体" w:hAnsi="宋体" w:eastAsia="宋体" w:cs="宋体"/>
          <w:kern w:val="0"/>
          <w:sz w:val="28"/>
          <w:szCs w:val="28"/>
        </w:rPr>
        <w:t>于：①科室管理制度②各岗位人员职责③绩效考核制度④人员培训考核制度⑤设施设备管理制度⑥双向转诊制度⑦健康教育制度⑧家庭医生签约服务制度⑨医疗质量管理制度（处方、病历、量表等）⑩医疗风险防控预案⑪诊疗流程⑫管理规范等。</w:t>
      </w:r>
    </w:p>
    <w:p>
      <w:pPr>
        <w:pStyle w:val="20"/>
        <w:keepNext w:val="0"/>
        <w:keepLines w:val="0"/>
        <w:pageBreakBefore w:val="0"/>
        <w:widowControl w:val="0"/>
        <w:kinsoku/>
        <w:wordWrap/>
        <w:topLinePunct w:val="0"/>
        <w:bidi w:val="0"/>
        <w:snapToGrid/>
        <w:spacing w:line="560" w:lineRule="exact"/>
        <w:ind w:firstLine="562" w:firstLineChars="200"/>
        <w:jc w:val="left"/>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五、规范工作流程</w:t>
      </w:r>
    </w:p>
    <w:p>
      <w:pPr>
        <w:pStyle w:val="20"/>
        <w:keepNext w:val="0"/>
        <w:keepLines w:val="0"/>
        <w:pageBreakBefore w:val="0"/>
        <w:widowControl w:val="0"/>
        <w:kinsoku/>
        <w:wordWrap/>
        <w:topLinePunct w:val="0"/>
        <w:bidi w:val="0"/>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公示门诊时间，原则上应固定，每周不少于三个半天（视病人情况增加），培育基地专家至少每月出</w:t>
      </w:r>
      <w:r>
        <w:rPr>
          <w:rFonts w:hint="eastAsia" w:hAnsi="宋体" w:cs="宋体"/>
          <w:kern w:val="0"/>
          <w:sz w:val="28"/>
          <w:szCs w:val="28"/>
          <w:lang w:val="en-US" w:eastAsia="zh-CN"/>
        </w:rPr>
        <w:t>4</w:t>
      </w:r>
      <w:r>
        <w:rPr>
          <w:rFonts w:hint="eastAsia" w:ascii="宋体" w:hAnsi="宋体" w:eastAsia="宋体" w:cs="宋体"/>
          <w:kern w:val="0"/>
          <w:sz w:val="28"/>
          <w:szCs w:val="28"/>
        </w:rPr>
        <w:t>个门诊单元，</w:t>
      </w:r>
      <w:r>
        <w:rPr>
          <w:rFonts w:hint="eastAsia" w:hAnsi="宋体" w:cs="宋体"/>
          <w:kern w:val="0"/>
          <w:sz w:val="28"/>
          <w:szCs w:val="28"/>
          <w:lang w:eastAsia="zh-CN"/>
        </w:rPr>
        <w:t>出诊、带教、会诊等，形式不限，时间相对固定，</w:t>
      </w:r>
      <w:r>
        <w:rPr>
          <w:rFonts w:hint="eastAsia" w:ascii="宋体" w:hAnsi="宋体" w:eastAsia="宋体" w:cs="宋体"/>
          <w:kern w:val="0"/>
          <w:sz w:val="28"/>
          <w:szCs w:val="28"/>
        </w:rPr>
        <w:t>特殊原因停诊需提前2周公示告知；公示门诊简介；公示服务流程。</w:t>
      </w:r>
    </w:p>
    <w:p>
      <w:pPr>
        <w:pStyle w:val="20"/>
        <w:keepNext w:val="0"/>
        <w:keepLines w:val="0"/>
        <w:pageBreakBefore w:val="0"/>
        <w:widowControl w:val="0"/>
        <w:kinsoku/>
        <w:wordWrap/>
        <w:topLinePunct w:val="0"/>
        <w:bidi w:val="0"/>
        <w:snapToGrid/>
        <w:spacing w:line="560" w:lineRule="exact"/>
        <w:ind w:firstLine="562" w:firstLineChars="200"/>
        <w:jc w:val="left"/>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六、明确工作任务</w:t>
      </w:r>
    </w:p>
    <w:p>
      <w:pPr>
        <w:pStyle w:val="20"/>
        <w:keepNext w:val="0"/>
        <w:keepLines w:val="0"/>
        <w:pageBreakBefore w:val="0"/>
        <w:widowControl w:val="0"/>
        <w:kinsoku/>
        <w:wordWrap/>
        <w:topLinePunct w:val="0"/>
        <w:bidi w:val="0"/>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依据2022年北京市糖尿病专病特色科室建设评估指标，达到相应的工作数量和工作质量。中心应加强日常的检查和考核，年底进行自评，并申请市级达标复核。</w:t>
      </w:r>
    </w:p>
    <w:p>
      <w:pPr>
        <w:pStyle w:val="20"/>
        <w:keepNext w:val="0"/>
        <w:keepLines w:val="0"/>
        <w:pageBreakBefore w:val="0"/>
        <w:widowControl w:val="0"/>
        <w:kinsoku/>
        <w:wordWrap/>
        <w:topLinePunct w:val="0"/>
        <w:bidi w:val="0"/>
        <w:snapToGrid/>
        <w:spacing w:line="560" w:lineRule="exact"/>
        <w:ind w:firstLine="562" w:firstLineChars="200"/>
        <w:jc w:val="left"/>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七、附件</w:t>
      </w:r>
    </w:p>
    <w:p>
      <w:pPr>
        <w:keepNext w:val="0"/>
        <w:keepLines w:val="0"/>
        <w:pageBreakBefore w:val="0"/>
        <w:widowControl w:val="0"/>
        <w:kinsoku/>
        <w:wordWrap/>
        <w:topLinePunct w:val="0"/>
        <w:autoSpaceDE w:val="0"/>
        <w:autoSpaceDN w:val="0"/>
        <w:bidi w:val="0"/>
        <w:adjustRightInd w:val="0"/>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附件1:</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糖尿病门诊简介</w:t>
      </w:r>
    </w:p>
    <w:p>
      <w:pPr>
        <w:keepNext w:val="0"/>
        <w:keepLines w:val="0"/>
        <w:pageBreakBefore w:val="0"/>
        <w:widowControl w:val="0"/>
        <w:kinsoku/>
        <w:wordWrap/>
        <w:topLinePunct w:val="0"/>
        <w:autoSpaceDE w:val="0"/>
        <w:autoSpaceDN w:val="0"/>
        <w:bidi w:val="0"/>
        <w:adjustRightInd w:val="0"/>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附件2: 糖尿病门诊服务流程</w:t>
      </w:r>
    </w:p>
    <w:p>
      <w:pPr>
        <w:rPr>
          <w:rFonts w:hint="eastAsia" w:ascii="宋体" w:hAnsi="宋体" w:eastAsia="宋体" w:cs="宋体"/>
          <w:kern w:val="0"/>
          <w:sz w:val="28"/>
          <w:szCs w:val="28"/>
        </w:rPr>
      </w:pPr>
      <w:r>
        <w:rPr>
          <w:rFonts w:hint="eastAsia" w:ascii="宋体" w:hAnsi="宋体" w:eastAsia="宋体" w:cs="宋体"/>
          <w:kern w:val="0"/>
          <w:sz w:val="28"/>
          <w:szCs w:val="28"/>
        </w:rPr>
        <w:br w:type="page"/>
      </w:r>
    </w:p>
    <w:p>
      <w:pPr>
        <w:keepNext w:val="0"/>
        <w:keepLines w:val="0"/>
        <w:pageBreakBefore w:val="0"/>
        <w:widowControl w:val="0"/>
        <w:kinsoku/>
        <w:wordWrap/>
        <w:topLinePunct w:val="0"/>
        <w:autoSpaceDE w:val="0"/>
        <w:autoSpaceDN w:val="0"/>
        <w:bidi w:val="0"/>
        <w:adjustRightInd w:val="0"/>
        <w:snapToGrid/>
        <w:spacing w:line="56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附件1:     </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 xml:space="preserve">       </w:t>
      </w:r>
      <w:r>
        <w:rPr>
          <w:rFonts w:hint="eastAsia" w:ascii="宋体" w:hAnsi="宋体" w:eastAsia="宋体" w:cs="宋体"/>
          <w:b/>
          <w:kern w:val="0"/>
          <w:sz w:val="28"/>
          <w:szCs w:val="28"/>
        </w:rPr>
        <w:t>糖尿病门诊简介</w:t>
      </w:r>
    </w:p>
    <w:p>
      <w:pPr>
        <w:keepNext w:val="0"/>
        <w:keepLines w:val="0"/>
        <w:pageBreakBefore w:val="0"/>
        <w:widowControl w:val="0"/>
        <w:kinsoku/>
        <w:wordWrap/>
        <w:topLinePunct w:val="0"/>
        <w:bidi w:val="0"/>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糖尿病是常见的慢性疾病，可以引起多种并发症，致残率和致死率高，是重要的公共健康问题。我中心根据北京市卫生健康委提出的在基层医疗卫生机构建设一批具有糖尿病诊治能力的专病特色科室，开展糖尿病早期筛查、诊断和治疗，对患有糖尿病的患者提供规范、全面的诊疗和健康管理服务，指导糖尿病患者自我管理，依托医联体畅通患者双向转诊绿色通道，使居民在社区就能享受到高质量的专病诊疗服务。</w:t>
      </w:r>
    </w:p>
    <w:p>
      <w:pPr>
        <w:keepNext w:val="0"/>
        <w:keepLines w:val="0"/>
        <w:pageBreakBefore w:val="0"/>
        <w:widowControl w:val="0"/>
        <w:kinsoku/>
        <w:wordWrap/>
        <w:topLinePunct w:val="0"/>
        <w:bidi w:val="0"/>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门诊时间：每周XX、XX、XX</w:t>
      </w:r>
    </w:p>
    <w:p>
      <w:pPr>
        <w:keepNext w:val="0"/>
        <w:keepLines w:val="0"/>
        <w:pageBreakBefore w:val="0"/>
        <w:widowControl w:val="0"/>
        <w:kinsoku/>
        <w:wordWrap/>
        <w:topLinePunct w:val="0"/>
        <w:bidi w:val="0"/>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门诊医生：中心XXX主任医师带领其专病团队医生、护士定期门诊；三级医院专家XXX主任医师每月X次专家门诊（具体时间需要预约）</w:t>
      </w:r>
    </w:p>
    <w:p>
      <w:pPr>
        <w:keepNext w:val="0"/>
        <w:keepLines w:val="0"/>
        <w:pageBreakBefore w:val="0"/>
        <w:widowControl w:val="0"/>
        <w:kinsoku/>
        <w:wordWrap/>
        <w:topLinePunct w:val="0"/>
        <w:bidi w:val="0"/>
        <w:snapToGrid/>
        <w:spacing w:line="560" w:lineRule="exact"/>
        <w:ind w:firstLine="560" w:firstLineChars="200"/>
        <w:textAlignment w:val="auto"/>
        <w:rPr>
          <w:rFonts w:hint="eastAsia" w:ascii="宋体" w:hAnsi="宋体" w:eastAsia="宋体" w:cs="宋体"/>
          <w:sz w:val="28"/>
          <w:szCs w:val="28"/>
        </w:rPr>
      </w:pPr>
    </w:p>
    <w:tbl>
      <w:tblPr>
        <w:tblStyle w:val="10"/>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2126" w:type="dxa"/>
          </w:tcPr>
          <w:p>
            <w:pPr>
              <w:keepNext w:val="0"/>
              <w:keepLines w:val="0"/>
              <w:pageBreakBefore w:val="0"/>
              <w:widowControl w:val="0"/>
              <w:tabs>
                <w:tab w:val="left" w:pos="1055"/>
              </w:tabs>
              <w:kinsoku/>
              <w:wordWrap/>
              <w:topLinePunct w:val="0"/>
              <w:bidi w:val="0"/>
              <w:snapToGrid/>
              <w:spacing w:line="56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照片</w:t>
            </w:r>
            <w:r>
              <w:rPr>
                <w:rFonts w:hint="eastAsia" w:ascii="宋体" w:hAnsi="宋体" w:eastAsia="宋体" w:cs="宋体"/>
                <w:sz w:val="28"/>
                <w:szCs w:val="28"/>
              </w:rPr>
              <w:drawing>
                <wp:anchor distT="0" distB="0" distL="114300" distR="114300" simplePos="0" relativeHeight="251662336" behindDoc="1" locked="0" layoutInCell="1" allowOverlap="1">
                  <wp:simplePos x="0" y="0"/>
                  <wp:positionH relativeFrom="column">
                    <wp:posOffset>2813685</wp:posOffset>
                  </wp:positionH>
                  <wp:positionV relativeFrom="paragraph">
                    <wp:posOffset>34290</wp:posOffset>
                  </wp:positionV>
                  <wp:extent cx="1377950" cy="1809750"/>
                  <wp:effectExtent l="0" t="0" r="1270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8" cstate="print"/>
                          <a:srcRect/>
                          <a:stretch>
                            <a:fillRect/>
                          </a:stretch>
                        </pic:blipFill>
                        <pic:spPr>
                          <a:xfrm>
                            <a:off x="0" y="0"/>
                            <a:ext cx="1377378" cy="1809417"/>
                          </a:xfrm>
                          <a:prstGeom prst="rect">
                            <a:avLst/>
                          </a:prstGeom>
                          <a:noFill/>
                          <a:ln w="9525">
                            <a:noFill/>
                            <a:miter lim="800000"/>
                            <a:headEnd/>
                            <a:tailEnd/>
                          </a:ln>
                        </pic:spPr>
                      </pic:pic>
                    </a:graphicData>
                  </a:graphic>
                </wp:anchor>
              </w:drawing>
            </w:r>
          </w:p>
          <w:p>
            <w:pPr>
              <w:keepNext w:val="0"/>
              <w:keepLines w:val="0"/>
              <w:pageBreakBefore w:val="0"/>
              <w:widowControl w:val="0"/>
              <w:tabs>
                <w:tab w:val="left" w:pos="1055"/>
              </w:tabs>
              <w:kinsoku/>
              <w:wordWrap/>
              <w:topLinePunct w:val="0"/>
              <w:bidi w:val="0"/>
              <w:snapToGrid/>
              <w:spacing w:line="560" w:lineRule="exact"/>
              <w:ind w:firstLine="560" w:firstLineChars="200"/>
              <w:jc w:val="left"/>
              <w:textAlignment w:val="auto"/>
              <w:rPr>
                <w:rFonts w:hint="eastAsia" w:ascii="宋体" w:hAnsi="宋体" w:eastAsia="宋体" w:cs="宋体"/>
                <w:sz w:val="28"/>
                <w:szCs w:val="28"/>
              </w:rPr>
            </w:pPr>
          </w:p>
        </w:tc>
      </w:tr>
    </w:tbl>
    <w:p>
      <w:pPr>
        <w:keepNext w:val="0"/>
        <w:keepLines w:val="0"/>
        <w:pageBreakBefore w:val="0"/>
        <w:widowControl w:val="0"/>
        <w:kinsoku/>
        <w:wordWrap/>
        <w:topLinePunct w:val="0"/>
        <w:bidi w:val="0"/>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中心XXX主任医师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三级医院XXX主任医师</w:t>
      </w:r>
    </w:p>
    <w:p>
      <w:pPr>
        <w:keepNext w:val="0"/>
        <w:keepLines w:val="0"/>
        <w:pageBreakBefore w:val="0"/>
        <w:widowControl w:val="0"/>
        <w:kinsoku/>
        <w:wordWrap/>
        <w:topLinePunct w:val="0"/>
        <w:bidi w:val="0"/>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扫码预约(机构二维码）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预约电话：XXXXXXXX</w:t>
      </w:r>
    </w:p>
    <w:p>
      <w:pPr>
        <w:keepNext w:val="0"/>
        <w:keepLines w:val="0"/>
        <w:pageBreakBefore w:val="0"/>
        <w:widowControl w:val="0"/>
        <w:kinsoku/>
        <w:wordWrap/>
        <w:topLinePunct w:val="0"/>
        <w:bidi w:val="0"/>
        <w:snapToGrid/>
        <w:spacing w:line="560" w:lineRule="exact"/>
        <w:ind w:firstLine="560" w:firstLineChars="200"/>
        <w:textAlignment w:val="auto"/>
        <w:rPr>
          <w:rFonts w:ascii="仿宋" w:hAnsi="仿宋" w:eastAsia="仿宋" w:cs="宋体"/>
          <w:sz w:val="30"/>
          <w:szCs w:val="30"/>
        </w:rPr>
      </w:pPr>
      <w:r>
        <w:rPr>
          <w:rFonts w:hint="eastAsia" w:ascii="宋体" w:hAnsi="宋体" w:eastAsia="宋体" w:cs="宋体"/>
          <w:sz w:val="28"/>
          <w:szCs w:val="28"/>
        </w:rPr>
        <w:t xml:space="preserve">                                XXX社区卫生服务中心</w:t>
      </w:r>
    </w:p>
    <w:p>
      <w:pPr>
        <w:overflowPunct w:val="0"/>
        <w:ind w:firstLine="3213" w:firstLineChars="1000"/>
        <w:rPr>
          <w:rFonts w:ascii="仿宋_GB2312" w:hAnsi="仿宋_GB2312" w:eastAsia="仿宋_GB2312" w:cs="仿宋_GB2312"/>
          <w:b/>
          <w:bCs/>
          <w:sz w:val="32"/>
          <w:szCs w:val="32"/>
        </w:rPr>
      </w:pPr>
    </w:p>
    <w:p>
      <w:pPr>
        <w:rPr>
          <w:rFonts w:hint="eastAsia" w:ascii="黑体" w:hAnsi="黑体" w:eastAsia="黑体" w:cs="黑体"/>
          <w:b w:val="0"/>
          <w:bCs/>
          <w:color w:val="auto"/>
          <w:sz w:val="32"/>
          <w:szCs w:val="32"/>
        </w:rPr>
      </w:pPr>
    </w:p>
    <w:p>
      <w:pPr>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br w:type="page"/>
      </w:r>
    </w:p>
    <w:p>
      <w:pPr>
        <w:keepNext w:val="0"/>
        <w:keepLines w:val="0"/>
        <w:pageBreakBefore w:val="0"/>
        <w:kinsoku/>
        <w:wordWrap/>
        <w:topLinePunct w:val="0"/>
        <w:autoSpaceDE w:val="0"/>
        <w:autoSpaceDN w:val="0"/>
        <w:bidi w:val="0"/>
        <w:adjustRightInd w:val="0"/>
        <w:spacing w:line="560" w:lineRule="exact"/>
        <w:jc w:val="left"/>
        <w:textAlignment w:val="auto"/>
        <w:rPr>
          <w:rFonts w:hint="eastAsia" w:ascii="Times New Roman" w:hAnsi="Times New Roman" w:eastAsia="宋体" w:cs="宋体"/>
          <w:b/>
          <w:kern w:val="0"/>
          <w:sz w:val="28"/>
          <w:szCs w:val="28"/>
        </w:rPr>
      </w:pPr>
      <w:r>
        <w:rPr>
          <w:rFonts w:hint="eastAsia" w:ascii="Times New Roman" w:hAnsi="Times New Roman" w:eastAsia="宋体" w:cs="宋体"/>
          <w:kern w:val="0"/>
          <w:sz w:val="28"/>
          <w:szCs w:val="28"/>
        </w:rPr>
        <w:t>附件2</w:t>
      </w:r>
      <w:r>
        <w:rPr>
          <w:rFonts w:hint="eastAsia" w:ascii="Times New Roman" w:hAnsi="Times New Roman" w:eastAsia="宋体" w:cs="宋体"/>
          <w:kern w:val="0"/>
          <w:sz w:val="28"/>
          <w:szCs w:val="28"/>
          <w:lang w:eastAsia="zh-CN"/>
        </w:rPr>
        <w:t>：</w:t>
      </w:r>
      <w:r>
        <w:rPr>
          <w:rFonts w:hint="eastAsia" w:ascii="Times New Roman" w:hAnsi="Times New Roman" w:eastAsia="宋体" w:cs="宋体"/>
          <w:kern w:val="0"/>
          <w:sz w:val="28"/>
          <w:szCs w:val="28"/>
          <w:lang w:val="en-US" w:eastAsia="zh-CN"/>
        </w:rPr>
        <w:t xml:space="preserve">       </w:t>
      </w:r>
      <w:r>
        <w:rPr>
          <w:rFonts w:hint="eastAsia" w:ascii="Times New Roman" w:hAnsi="Times New Roman" w:eastAsia="宋体" w:cs="宋体"/>
          <w:kern w:val="0"/>
          <w:sz w:val="28"/>
          <w:szCs w:val="28"/>
        </w:rPr>
        <w:t xml:space="preserve">      </w:t>
      </w:r>
      <w:r>
        <w:rPr>
          <w:rFonts w:hint="eastAsia" w:ascii="Times New Roman" w:hAnsi="Times New Roman" w:eastAsia="宋体" w:cs="宋体"/>
          <w:b/>
          <w:kern w:val="0"/>
          <w:sz w:val="28"/>
          <w:szCs w:val="28"/>
        </w:rPr>
        <w:t xml:space="preserve">    糖尿病门诊服务流程</w:t>
      </w:r>
    </w:p>
    <w:p>
      <w:pPr>
        <w:keepNext w:val="0"/>
        <w:keepLines w:val="0"/>
        <w:pageBreakBefore w:val="0"/>
        <w:kinsoku/>
        <w:wordWrap/>
        <w:topLinePunct w:val="0"/>
        <w:autoSpaceDE w:val="0"/>
        <w:autoSpaceDN w:val="0"/>
        <w:bidi w:val="0"/>
        <w:adjustRightInd w:val="0"/>
        <w:spacing w:line="560" w:lineRule="exact"/>
        <w:ind w:left="0" w:leftChars="0" w:firstLine="562" w:firstLineChars="200"/>
        <w:jc w:val="left"/>
        <w:textAlignment w:val="auto"/>
        <w:rPr>
          <w:rFonts w:hint="eastAsia" w:ascii="Times New Roman" w:hAnsi="Times New Roman" w:eastAsia="宋体" w:cs="宋体"/>
          <w:b/>
          <w:kern w:val="0"/>
          <w:sz w:val="28"/>
          <w:szCs w:val="28"/>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宋体"/>
          <w:b/>
          <w:bCs/>
          <w:sz w:val="28"/>
          <w:szCs w:val="28"/>
        </w:rPr>
      </w:pPr>
      <w:r>
        <w:rPr>
          <w:rFonts w:hint="eastAsia" w:ascii="Times New Roman" w:hAnsi="Times New Roman" w:eastAsia="宋体" w:cs="宋体"/>
          <w:b/>
          <w:bCs/>
          <w:sz w:val="28"/>
          <w:szCs w:val="28"/>
        </w:rPr>
        <mc:AlternateContent>
          <mc:Choice Requires="wpg">
            <w:drawing>
              <wp:inline distT="0" distB="0" distL="114300" distR="114300">
                <wp:extent cx="4970780" cy="5255895"/>
                <wp:effectExtent l="5080" t="5080" r="15240" b="15875"/>
                <wp:docPr id="43" name="组合 43"/>
                <wp:cNvGraphicFramePr/>
                <a:graphic xmlns:a="http://schemas.openxmlformats.org/drawingml/2006/main">
                  <a:graphicData uri="http://schemas.microsoft.com/office/word/2010/wordprocessingGroup">
                    <wpg:wgp>
                      <wpg:cNvGrpSpPr/>
                      <wpg:grpSpPr>
                        <a:xfrm>
                          <a:off x="0" y="0"/>
                          <a:ext cx="4970780" cy="5255895"/>
                          <a:chOff x="3026" y="2966"/>
                          <a:chExt cx="7828" cy="8277"/>
                        </a:xfrm>
                      </wpg:grpSpPr>
                      <wps:wsp>
                        <wps:cNvPr id="24" name="文本框 24"/>
                        <wps:cNvSpPr txBox="1"/>
                        <wps:spPr>
                          <a:xfrm>
                            <a:off x="7571" y="10109"/>
                            <a:ext cx="3283" cy="113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0" w:beforeLines="50"/>
                                <w:jc w:val="center"/>
                                <w:textAlignment w:val="auto"/>
                                <w:rPr>
                                  <w:rFonts w:ascii="仿宋" w:hAnsi="仿宋" w:eastAsia="仿宋"/>
                                  <w:sz w:val="24"/>
                                  <w:szCs w:val="24"/>
                                </w:rPr>
                              </w:pPr>
                              <w:r>
                                <w:rPr>
                                  <w:rFonts w:hint="eastAsia" w:ascii="仿宋" w:hAnsi="仿宋" w:eastAsia="仿宋"/>
                                  <w:sz w:val="24"/>
                                  <w:szCs w:val="24"/>
                                </w:rPr>
                                <w:t>调整药物或转上级医院</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病情稳定转回社区继续管理</w:t>
                              </w:r>
                            </w:p>
                          </w:txbxContent>
                        </wps:txbx>
                        <wps:bodyPr upright="1"/>
                      </wps:wsp>
                      <wps:wsp>
                        <wps:cNvPr id="25" name="文本框 25"/>
                        <wps:cNvSpPr txBox="1"/>
                        <wps:spPr>
                          <a:xfrm>
                            <a:off x="7695" y="9141"/>
                            <a:ext cx="3075" cy="45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病情有变化或加重</w:t>
                              </w:r>
                            </w:p>
                          </w:txbxContent>
                        </wps:txbx>
                        <wps:bodyPr upright="1"/>
                      </wps:wsp>
                      <wps:wsp>
                        <wps:cNvPr id="26" name="文本框 26"/>
                        <wps:cNvSpPr txBox="1"/>
                        <wps:spPr>
                          <a:xfrm>
                            <a:off x="3026" y="8820"/>
                            <a:ext cx="3976" cy="14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健康指导</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药物治疗</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面对面随访</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规范管理</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规范管理</w:t>
                              </w:r>
                            </w:p>
                          </w:txbxContent>
                        </wps:txbx>
                        <wps:bodyPr upright="1"/>
                      </wps:wsp>
                      <wps:wsp>
                        <wps:cNvPr id="27" name="文本框 27"/>
                        <wps:cNvSpPr txBox="1"/>
                        <wps:spPr>
                          <a:xfrm>
                            <a:off x="3124" y="10700"/>
                            <a:ext cx="3915" cy="45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提供家庭医生签约服务</w:t>
                              </w:r>
                            </w:p>
                          </w:txbxContent>
                        </wps:txbx>
                        <wps:bodyPr upright="1"/>
                      </wps:wsp>
                      <wps:wsp>
                        <wps:cNvPr id="28" name="直接箭头连接符 28"/>
                        <wps:cNvCnPr/>
                        <wps:spPr>
                          <a:xfrm>
                            <a:off x="7002" y="9376"/>
                            <a:ext cx="693" cy="0"/>
                          </a:xfrm>
                          <a:prstGeom prst="straightConnector1">
                            <a:avLst/>
                          </a:prstGeom>
                          <a:ln w="6350" cap="flat" cmpd="sng">
                            <a:solidFill>
                              <a:srgbClr val="5B9BD5"/>
                            </a:solidFill>
                            <a:prstDash val="solid"/>
                            <a:miter/>
                            <a:headEnd type="none" w="med" len="med"/>
                            <a:tailEnd type="arrow" w="med" len="med"/>
                          </a:ln>
                        </wps:spPr>
                        <wps:bodyPr/>
                      </wps:wsp>
                      <wps:wsp>
                        <wps:cNvPr id="29" name="直接箭头连接符 29"/>
                        <wps:cNvCnPr/>
                        <wps:spPr>
                          <a:xfrm>
                            <a:off x="9210" y="9565"/>
                            <a:ext cx="1" cy="552"/>
                          </a:xfrm>
                          <a:prstGeom prst="straightConnector1">
                            <a:avLst/>
                          </a:prstGeom>
                          <a:ln w="6350" cap="flat" cmpd="sng">
                            <a:solidFill>
                              <a:srgbClr val="5B9BD5"/>
                            </a:solidFill>
                            <a:prstDash val="solid"/>
                            <a:miter/>
                            <a:headEnd type="none" w="med" len="med"/>
                            <a:tailEnd type="arrow" w="med" len="med"/>
                          </a:ln>
                        </wps:spPr>
                        <wps:bodyPr/>
                      </wps:wsp>
                      <wps:wsp>
                        <wps:cNvPr id="30" name="文本框 30"/>
                        <wps:cNvSpPr txBox="1"/>
                        <wps:spPr>
                          <a:xfrm>
                            <a:off x="3093" y="6157"/>
                            <a:ext cx="3723" cy="439"/>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糖尿病门诊就诊</w:t>
                              </w:r>
                            </w:p>
                          </w:txbxContent>
                        </wps:txbx>
                        <wps:bodyPr upright="1"/>
                      </wps:wsp>
                      <wps:wsp>
                        <wps:cNvPr id="31" name="文本框 31"/>
                        <wps:cNvSpPr txBox="1"/>
                        <wps:spPr>
                          <a:xfrm>
                            <a:off x="3124" y="3863"/>
                            <a:ext cx="3692" cy="81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健康小屋</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信息采集、建立健康档案</w:t>
                              </w:r>
                            </w:p>
                          </w:txbxContent>
                        </wps:txbx>
                        <wps:bodyPr upright="1"/>
                      </wps:wsp>
                      <wps:wsp>
                        <wps:cNvPr id="32" name="文本框 32"/>
                        <wps:cNvSpPr txBox="1"/>
                        <wps:spPr>
                          <a:xfrm>
                            <a:off x="3255" y="2966"/>
                            <a:ext cx="3561" cy="47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预约就诊</w:t>
                              </w:r>
                            </w:p>
                          </w:txbxContent>
                        </wps:txbx>
                        <wps:bodyPr upright="1"/>
                      </wps:wsp>
                      <wps:wsp>
                        <wps:cNvPr id="33" name="直接箭头连接符 33"/>
                        <wps:cNvCnPr/>
                        <wps:spPr>
                          <a:xfrm>
                            <a:off x="4961" y="3440"/>
                            <a:ext cx="0" cy="423"/>
                          </a:xfrm>
                          <a:prstGeom prst="straightConnector1">
                            <a:avLst/>
                          </a:prstGeom>
                          <a:ln w="6350" cap="flat" cmpd="sng">
                            <a:solidFill>
                              <a:srgbClr val="5B9BD5"/>
                            </a:solidFill>
                            <a:prstDash val="solid"/>
                            <a:miter/>
                            <a:headEnd type="none" w="med" len="med"/>
                            <a:tailEnd type="arrow" w="med" len="med"/>
                          </a:ln>
                        </wps:spPr>
                        <wps:bodyPr/>
                      </wps:wsp>
                      <wps:wsp>
                        <wps:cNvPr id="34" name="文本框 34"/>
                        <wps:cNvSpPr txBox="1"/>
                        <wps:spPr>
                          <a:xfrm>
                            <a:off x="3093" y="4999"/>
                            <a:ext cx="3723" cy="846"/>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健康监测</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（身高、体重、BMI、血压、血糖）</w:t>
                              </w:r>
                            </w:p>
                          </w:txbxContent>
                        </wps:txbx>
                        <wps:bodyPr upright="1"/>
                      </wps:wsp>
                      <wps:wsp>
                        <wps:cNvPr id="35" name="文本框 35"/>
                        <wps:cNvSpPr txBox="1"/>
                        <wps:spPr>
                          <a:xfrm>
                            <a:off x="3124" y="6960"/>
                            <a:ext cx="3692" cy="45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糖尿病诊疗</w:t>
                              </w:r>
                            </w:p>
                          </w:txbxContent>
                        </wps:txbx>
                        <wps:bodyPr upright="1"/>
                      </wps:wsp>
                      <wps:wsp>
                        <wps:cNvPr id="36" name="文本框 36"/>
                        <wps:cNvSpPr txBox="1"/>
                        <wps:spPr>
                          <a:xfrm>
                            <a:off x="3026" y="7851"/>
                            <a:ext cx="3980" cy="423"/>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textAlignment w:val="auto"/>
                                <w:rPr>
                                  <w:rFonts w:ascii="仿宋" w:hAnsi="仿宋" w:eastAsia="仿宋"/>
                                  <w:spacing w:val="-6"/>
                                  <w:w w:val="95"/>
                                  <w:sz w:val="24"/>
                                  <w:szCs w:val="24"/>
                                </w:rPr>
                              </w:pPr>
                              <w:r>
                                <w:rPr>
                                  <w:rFonts w:hint="eastAsia" w:ascii="仿宋" w:hAnsi="仿宋" w:eastAsia="仿宋"/>
                                  <w:spacing w:val="-6"/>
                                  <w:w w:val="95"/>
                                  <w:sz w:val="24"/>
                                  <w:szCs w:val="24"/>
                                </w:rPr>
                                <w:t>根据危险因素分层制定个性化诊疗方案</w:t>
                              </w:r>
                            </w:p>
                          </w:txbxContent>
                        </wps:txbx>
                        <wps:bodyPr upright="1"/>
                      </wps:wsp>
                      <wps:wsp>
                        <wps:cNvPr id="37" name="直接箭头连接符 37"/>
                        <wps:cNvCnPr/>
                        <wps:spPr>
                          <a:xfrm>
                            <a:off x="4944" y="4673"/>
                            <a:ext cx="10" cy="326"/>
                          </a:xfrm>
                          <a:prstGeom prst="straightConnector1">
                            <a:avLst/>
                          </a:prstGeom>
                          <a:ln w="6350" cap="flat" cmpd="sng">
                            <a:solidFill>
                              <a:srgbClr val="5B9BD5"/>
                            </a:solidFill>
                            <a:prstDash val="solid"/>
                            <a:miter/>
                            <a:headEnd type="none" w="med" len="med"/>
                            <a:tailEnd type="arrow" w="med" len="med"/>
                          </a:ln>
                        </wps:spPr>
                        <wps:bodyPr/>
                      </wps:wsp>
                      <wps:wsp>
                        <wps:cNvPr id="38" name="直接箭头连接符 38"/>
                        <wps:cNvCnPr>
                          <a:stCxn id="34" idx="2"/>
                          <a:endCxn id="30" idx="0"/>
                        </wps:cNvCnPr>
                        <wps:spPr>
                          <a:xfrm>
                            <a:off x="4955" y="5845"/>
                            <a:ext cx="0" cy="312"/>
                          </a:xfrm>
                          <a:prstGeom prst="straightConnector1">
                            <a:avLst/>
                          </a:prstGeom>
                          <a:ln w="6350" cap="flat" cmpd="sng">
                            <a:solidFill>
                              <a:srgbClr val="5B9BD5"/>
                            </a:solidFill>
                            <a:prstDash val="solid"/>
                            <a:miter/>
                            <a:headEnd type="none" w="med" len="med"/>
                            <a:tailEnd type="arrow" w="med" len="med"/>
                          </a:ln>
                        </wps:spPr>
                        <wps:bodyPr/>
                      </wps:wsp>
                      <wps:wsp>
                        <wps:cNvPr id="39" name="直接箭头连接符 39"/>
                        <wps:cNvCnPr/>
                        <wps:spPr>
                          <a:xfrm>
                            <a:off x="5002" y="7414"/>
                            <a:ext cx="1" cy="437"/>
                          </a:xfrm>
                          <a:prstGeom prst="straightConnector1">
                            <a:avLst/>
                          </a:prstGeom>
                          <a:ln w="6350" cap="flat" cmpd="sng">
                            <a:solidFill>
                              <a:srgbClr val="5B9BD5"/>
                            </a:solidFill>
                            <a:prstDash val="solid"/>
                            <a:miter/>
                            <a:headEnd type="none" w="med" len="med"/>
                            <a:tailEnd type="arrow" w="med" len="med"/>
                          </a:ln>
                        </wps:spPr>
                        <wps:bodyPr/>
                      </wps:wsp>
                      <wps:wsp>
                        <wps:cNvPr id="40" name="直接箭头连接符 40"/>
                        <wps:cNvCnPr>
                          <a:endCxn id="35" idx="0"/>
                        </wps:cNvCnPr>
                        <wps:spPr>
                          <a:xfrm>
                            <a:off x="4970" y="6596"/>
                            <a:ext cx="0" cy="364"/>
                          </a:xfrm>
                          <a:prstGeom prst="straightConnector1">
                            <a:avLst/>
                          </a:prstGeom>
                          <a:ln w="6350" cap="flat" cmpd="sng">
                            <a:solidFill>
                              <a:srgbClr val="5B9BD5"/>
                            </a:solidFill>
                            <a:prstDash val="solid"/>
                            <a:miter/>
                            <a:headEnd type="none" w="med" len="med"/>
                            <a:tailEnd type="arrow" w="med" len="med"/>
                          </a:ln>
                        </wps:spPr>
                        <wps:bodyPr/>
                      </wps:wsp>
                      <wps:wsp>
                        <wps:cNvPr id="41" name="直接箭头连接符 41"/>
                        <wps:cNvCnPr/>
                        <wps:spPr>
                          <a:xfrm flipH="1">
                            <a:off x="4975" y="8274"/>
                            <a:ext cx="0" cy="567"/>
                          </a:xfrm>
                          <a:prstGeom prst="straightConnector1">
                            <a:avLst/>
                          </a:prstGeom>
                          <a:ln w="6350" cap="flat" cmpd="sng">
                            <a:solidFill>
                              <a:srgbClr val="5B9BD5"/>
                            </a:solidFill>
                            <a:prstDash val="solid"/>
                            <a:miter/>
                            <a:headEnd type="none" w="med" len="med"/>
                            <a:tailEnd type="arrow" w="med" len="med"/>
                          </a:ln>
                        </wps:spPr>
                        <wps:bodyPr/>
                      </wps:wsp>
                      <wps:wsp>
                        <wps:cNvPr id="42" name="直接箭头连接符 42"/>
                        <wps:cNvCnPr/>
                        <wps:spPr>
                          <a:xfrm flipH="1">
                            <a:off x="4886" y="10214"/>
                            <a:ext cx="5" cy="454"/>
                          </a:xfrm>
                          <a:prstGeom prst="straightConnector1">
                            <a:avLst/>
                          </a:prstGeom>
                          <a:ln w="6350" cap="flat" cmpd="sng">
                            <a:solidFill>
                              <a:srgbClr val="5B9BD5"/>
                            </a:solidFill>
                            <a:prstDash val="solid"/>
                            <a:miter/>
                            <a:headEnd type="none" w="med" len="med"/>
                            <a:tailEnd type="arrow" w="med" len="med"/>
                          </a:ln>
                        </wps:spPr>
                        <wps:bodyPr/>
                      </wps:wsp>
                    </wpg:wgp>
                  </a:graphicData>
                </a:graphic>
              </wp:inline>
            </w:drawing>
          </mc:Choice>
          <mc:Fallback>
            <w:pict>
              <v:group id="_x0000_s1026" o:spid="_x0000_s1026" o:spt="203" style="height:413.85pt;width:391.4pt;" coordorigin="3026,2966" coordsize="7828,8277" o:gfxdata="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">
                <o:lock v:ext="edit" aspectratio="f"/>
                <v:shape id="_x0000_s1026" o:spid="_x0000_s1026" o:spt="202" type="#_x0000_t202" style="position:absolute;left:7571;top:10109;height:1134;width:3283;" fillcolor="#FFFFFF" filled="t" stroked="t" coordsize="21600,21600" o:gfxdata="UEsDBAoAAAAAAIdO4kAAAAAAAAAAAAAAAAAEAAAAZHJzL1BLAwQUAAAACACHTuJATaNOmLcAAADb&#10;AAAADwAAAGRycy9kb3ducmV2LnhtbEWPwQrCMBBE74L/EFbwpqlVRK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No06YtwAAANsAAAAP&#10;AAAAAAAAAAEAIAAAACIAAABkcnMvZG93bnJldi54bWxQSwECFAAUAAAACACHTuJAMy8FnjsAAAA5&#10;AAAAEAAAAAAAAAABACAAAAAGAQAAZHJzL3NoYXBleG1sLnhtbFBLBQYAAAAABgAGAFsBAACwAwAA&#10;AAA=&#10;">
                  <v:fill on="t" focussize="0,0"/>
                  <v:stroke weight="0.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before="0" w:beforeLines="50"/>
                          <w:jc w:val="center"/>
                          <w:textAlignment w:val="auto"/>
                          <w:rPr>
                            <w:rFonts w:ascii="仿宋" w:hAnsi="仿宋" w:eastAsia="仿宋"/>
                            <w:sz w:val="24"/>
                            <w:szCs w:val="24"/>
                          </w:rPr>
                        </w:pPr>
                        <w:r>
                          <w:rPr>
                            <w:rFonts w:hint="eastAsia" w:ascii="仿宋" w:hAnsi="仿宋" w:eastAsia="仿宋"/>
                            <w:sz w:val="24"/>
                            <w:szCs w:val="24"/>
                          </w:rPr>
                          <w:t>调整药物或转上级医院</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病情稳定转回社区继续管理</w:t>
                        </w:r>
                      </w:p>
                    </w:txbxContent>
                  </v:textbox>
                </v:shape>
                <v:shape id="_x0000_s1026" o:spid="_x0000_s1026" o:spt="202" type="#_x0000_t202" style="position:absolute;left:7695;top:9141;height:454;width:3075;" fillcolor="#FFFFFF" filled="t" stroked="t" coordsize="21600,21600" o:gfxdata="UEsDBAoAAAAAAIdO4kAAAAAAAAAAAAAAAAAEAAAAZHJzL1BLAwQUAAAACACHTuJAIu/rA7cAAADb&#10;AAAADwAAAGRycy9kb3ducmV2LnhtbEWPwQrCMBBE74L/EFbwpqkVRa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i7+sDtwAAANsAAAAP&#10;AAAAAAAAAAEAIAAAACIAAABkcnMvZG93bnJldi54bWxQSwECFAAUAAAACACHTuJAMy8FnjsAAAA5&#10;AAAAEAAAAAAAAAABACAAAAAGAQAAZHJzL3NoYXBleG1sLnhtbFBLBQYAAAAABgAGAFsBAACwAwAA&#10;AAA=&#10;">
                  <v:fill on="t" focussize="0,0"/>
                  <v:stroke weight="0.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病情有变化或加重</w:t>
                        </w:r>
                      </w:p>
                    </w:txbxContent>
                  </v:textbox>
                </v:shape>
                <v:shape id="_x0000_s1026" o:spid="_x0000_s1026" o:spt="202" type="#_x0000_t202" style="position:absolute;left:3026;top:8820;height:1404;width:3976;" fillcolor="#FFFFFF" filled="t" stroked="t" coordsize="21600,21600" o:gfxdata="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I9dXS2AAAA2wAAAA8A&#10;AAAAAAAAAQAgAAAAIgAAAGRycy9kb3ducmV2LnhtbFBLAQIUABQAAAAIAIdO4kAzLwWeOwAAADkA&#10;AAAQAAAAAAAAAAEAIAAAAAUBAABkcnMvc2hhcGV4bWwueG1sUEsFBgAAAAAGAAYAWwEAAK8DAAAA&#10;AA==&#10;">
                  <v:fill on="t" focussize="0,0"/>
                  <v:stroke weight="0.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健康指导</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药物治疗</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面对面随访</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规范管理</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规范管理</w:t>
                        </w:r>
                      </w:p>
                    </w:txbxContent>
                  </v:textbox>
                </v:shape>
                <v:shape id="_x0000_s1026" o:spid="_x0000_s1026" o:spt="202" type="#_x0000_t202" style="position:absolute;left:3124;top:10700;height:454;width:3915;" fillcolor="#FFFFFF" filled="t" stroked="t" coordsize="21600,21600" o:gfxdata="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9cdDvtwAAANsAAAAP&#10;AAAAAAAAAAEAIAAAACIAAABkcnMvZG93bnJldi54bWxQSwECFAAUAAAACACHTuJAMy8FnjsAAAA5&#10;AAAAEAAAAAAAAAABACAAAAAGAQAAZHJzL3NoYXBleG1sLnhtbFBLBQYAAAAABgAGAFsBAACwAwAA&#10;AAA=&#10;">
                  <v:fill on="t" focussize="0,0"/>
                  <v:stroke weight="0.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提供家庭医生签约服务</w:t>
                        </w:r>
                      </w:p>
                    </w:txbxContent>
                  </v:textbox>
                </v:shape>
                <v:shape id="_x0000_s1026" o:spid="_x0000_s1026" o:spt="32" type="#_x0000_t32" style="position:absolute;left:7002;top:9376;height:0;width:693;" filled="f" stroked="t" coordsize="21600,21600" o:gfxdata="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n42jrUAAADbAAAADwAA&#10;AAAAAAABACAAAAAiAAAAZHJzL2Rvd25yZXYueG1sUEsBAhQAFAAAAAgAh07iQDMvBZ47AAAAOQAA&#10;ABAAAAAAAAAAAQAgAAAABAEAAGRycy9zaGFwZXhtbC54bWxQSwUGAAAAAAYABgBbAQAArgMAAAAA&#10;">
                  <v:fill on="f" focussize="0,0"/>
                  <v:stroke weight="0.5pt" color="#5B9BD5" joinstyle="miter" endarrow="open"/>
                  <v:imagedata o:title=""/>
                  <o:lock v:ext="edit" aspectratio="f"/>
                </v:shape>
                <v:shape id="_x0000_s1026" o:spid="_x0000_s1026" o:spt="32" type="#_x0000_t32" style="position:absolute;left:9210;top:9565;height:552;width:1;" filled="f" stroked="t" coordsize="21600,21600" o:gfxdata="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ykxW8AAAA&#10;2wAAAA8AAAAAAAAAAQAgAAAAIgAAAGRycy9kb3ducmV2LnhtbFBLAQIUABQAAAAIAIdO4kAzLwWe&#10;OwAAADkAAAAQAAAAAAAAAAEAIAAAAAsBAABkcnMvc2hhcGV4bWwueG1sUEsFBgAAAAAGAAYAWwEA&#10;ALUDAAAAAA==&#10;">
                  <v:fill on="f" focussize="0,0"/>
                  <v:stroke weight="0.5pt" color="#5B9BD5" joinstyle="miter" endarrow="open"/>
                  <v:imagedata o:title=""/>
                  <o:lock v:ext="edit" aspectratio="f"/>
                </v:shape>
                <v:shape id="_x0000_s1026" o:spid="_x0000_s1026" o:spt="202" type="#_x0000_t202" style="position:absolute;left:3093;top:6157;height:439;width:3723;" fillcolor="#FFFFFF" filled="t" stroked="t" coordsize="21600,21600" o:gfxdata="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3Qd5GtAAAANsAAAAPAAAA&#10;AAAAAAEAIAAAACIAAABkcnMvZG93bnJldi54bWxQSwECFAAUAAAACACHTuJAMy8FnjsAAAA5AAAA&#10;EAAAAAAAAAABACAAAAADAQAAZHJzL3NoYXBleG1sLnhtbFBLBQYAAAAABgAGAFsBAACtAwAAAAA=&#10;">
                  <v:fill on="t" focussize="0,0"/>
                  <v:stroke weight="0.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糖尿病门诊就诊</w:t>
                        </w:r>
                      </w:p>
                    </w:txbxContent>
                  </v:textbox>
                </v:shape>
                <v:shape id="_x0000_s1026" o:spid="_x0000_s1026" o:spt="202" type="#_x0000_t202" style="position:absolute;left:3124;top:3863;height:810;width:3692;" fillcolor="#FFFFFF" filled="t" stroked="t" coordsize="21600,21600" o:gfxdata="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gNe922AAAA2wAAAA8A&#10;AAAAAAAAAQAgAAAAIgAAAGRycy9kb3ducmV2LnhtbFBLAQIUABQAAAAIAIdO4kAzLwWeOwAAADkA&#10;AAAQAAAAAAAAAAEAIAAAAAUBAABkcnMvc2hhcGV4bWwueG1sUEsFBgAAAAAGAAYAWwEAAK8DAAAA&#10;AA==&#10;">
                  <v:fill on="t" focussize="0,0"/>
                  <v:stroke weight="0.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健康小屋</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信息采集、建立健康档案</w:t>
                        </w:r>
                      </w:p>
                    </w:txbxContent>
                  </v:textbox>
                </v:shape>
                <v:shape id="_x0000_s1026" o:spid="_x0000_s1026" o:spt="202" type="#_x0000_t202" style="position:absolute;left:3255;top:2966;height:474;width:3561;" fillcolor="#FFFFFF" filled="t" stroked="t" coordsize="21600,21600" o:gfxdata="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jf5aq2AAAA2wAAAA8A&#10;AAAAAAAAAQAgAAAAIgAAAGRycy9kb3ducmV2LnhtbFBLAQIUABQAAAAIAIdO4kAzLwWeOwAAADkA&#10;AAAQAAAAAAAAAAEAIAAAAAUBAABkcnMvc2hhcGV4bWwueG1sUEsFBgAAAAAGAAYAWwEAAK8DAAAA&#10;AA==&#10;">
                  <v:fill on="t" focussize="0,0"/>
                  <v:stroke weight="0.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预约就诊</w:t>
                        </w:r>
                      </w:p>
                    </w:txbxContent>
                  </v:textbox>
                </v:shape>
                <v:shape id="_x0000_s1026" o:spid="_x0000_s1026" o:spt="32" type="#_x0000_t32" style="position:absolute;left:4961;top:3440;height:423;width:0;" filled="f" stroked="t" coordsize="21600,21600" o:gfxdata="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DMiK8AAAA&#10;2wAAAA8AAAAAAAAAAQAgAAAAIgAAAGRycy9kb3ducmV2LnhtbFBLAQIUABQAAAAIAIdO4kAzLwWe&#10;OwAAADkAAAAQAAAAAAAAAAEAIAAAAAsBAABkcnMvc2hhcGV4bWwueG1sUEsFBgAAAAAGAAYAWwEA&#10;ALUDAAAAAA==&#10;">
                  <v:fill on="f" focussize="0,0"/>
                  <v:stroke weight="0.5pt" color="#5B9BD5" joinstyle="miter" endarrow="open"/>
                  <v:imagedata o:title=""/>
                  <o:lock v:ext="edit" aspectratio="f"/>
                </v:shape>
                <v:shape id="_x0000_s1026" o:spid="_x0000_s1026" o:spt="202" type="#_x0000_t202" style="position:absolute;left:3093;top:4999;height:846;width:3723;" fillcolor="#FFFFFF" filled="t" stroked="t" coordsize="21600,21600" o:gfxdata="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IethFtwAAANsAAAAP&#10;AAAAAAAAAAEAIAAAACIAAABkcnMvZG93bnJldi54bWxQSwECFAAUAAAACACHTuJAMy8FnjsAAAA5&#10;AAAAEAAAAAAAAAABACAAAAAGAQAAZHJzL3NoYXBleG1sLnhtbFBLBQYAAAAABgAGAFsBAACwAwAA&#10;AAA=&#10;">
                  <v:fill on="t" focussize="0,0"/>
                  <v:stroke weight="0.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健康监测</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（身高、体重、BMI、血压、血糖）</w:t>
                        </w:r>
                      </w:p>
                    </w:txbxContent>
                  </v:textbox>
                </v:shape>
                <v:shape id="_x0000_s1026" o:spid="_x0000_s1026" o:spt="202" type="#_x0000_t202" style="position:absolute;left:3124;top:6960;height:454;width:3692;" fillcolor="#FFFFFF" filled="t" stroked="t" coordsize="21600,21600" o:gfxdata="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nNn3etwAAANsAAAAP&#10;AAAAAAAAAAEAIAAAACIAAABkcnMvZG93bnJldi54bWxQSwECFAAUAAAACACHTuJAMy8FnjsAAAA5&#10;AAAAEAAAAAAAAAABACAAAAAGAQAAZHJzL3NoYXBleG1sLnhtbFBLBQYAAAAABgAGAFsBAACwAwAA&#10;AAA=&#10;">
                  <v:fill on="t" focussize="0,0"/>
                  <v:stroke weight="0.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sz w:val="24"/>
                            <w:szCs w:val="24"/>
                          </w:rPr>
                        </w:pPr>
                        <w:r>
                          <w:rPr>
                            <w:rFonts w:hint="eastAsia" w:ascii="仿宋" w:hAnsi="仿宋" w:eastAsia="仿宋"/>
                            <w:sz w:val="24"/>
                            <w:szCs w:val="24"/>
                          </w:rPr>
                          <w:t>糖尿病诊疗</w:t>
                        </w:r>
                      </w:p>
                    </w:txbxContent>
                  </v:textbox>
                </v:shape>
                <v:shape id="_x0000_s1026" o:spid="_x0000_s1026" o:spt="202" type="#_x0000_t202" style="position:absolute;left:3026;top:7851;height:423;width:3980;" fillcolor="#FFFFFF" filled="t" stroked="t" coordsize="21600,21600" o:gfxdata="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fk46m2AAAA2wAAAA8A&#10;AAAAAAAAAQAgAAAAIgAAAGRycy9kb3ducmV2LnhtbFBLAQIUABQAAAAIAIdO4kAzLwWeOwAAADkA&#10;AAAQAAAAAAAAAAEAIAAAAAUBAABkcnMvc2hhcGV4bWwueG1sUEsFBgAAAAAGAAYAWwEAAK8DAAAA&#10;AA==&#10;">
                  <v:fill on="t" focussize="0,0"/>
                  <v:stroke weight="0.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ascii="仿宋" w:hAnsi="仿宋" w:eastAsia="仿宋"/>
                            <w:spacing w:val="-6"/>
                            <w:w w:val="95"/>
                            <w:sz w:val="24"/>
                            <w:szCs w:val="24"/>
                          </w:rPr>
                        </w:pPr>
                        <w:r>
                          <w:rPr>
                            <w:rFonts w:hint="eastAsia" w:ascii="仿宋" w:hAnsi="仿宋" w:eastAsia="仿宋"/>
                            <w:spacing w:val="-6"/>
                            <w:w w:val="95"/>
                            <w:sz w:val="24"/>
                            <w:szCs w:val="24"/>
                          </w:rPr>
                          <w:t>根据危险因素分层制定个性化诊疗方案</w:t>
                        </w:r>
                      </w:p>
                    </w:txbxContent>
                  </v:textbox>
                </v:shape>
                <v:shape id="_x0000_s1026" o:spid="_x0000_s1026" o:spt="32" type="#_x0000_t32" style="position:absolute;left:4944;top:4673;height:326;width:10;" filled="f" stroked="t" coordsize="21600,21600" o:gfxdata="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ODQhvQAA&#10;ANsAAAAPAAAAAAAAAAEAIAAAACIAAABkcnMvZG93bnJldi54bWxQSwECFAAUAAAACACHTuJAMy8F&#10;njsAAAA5AAAAEAAAAAAAAAABACAAAAAMAQAAZHJzL3NoYXBleG1sLnhtbFBLBQYAAAAABgAGAFsB&#10;AAC2AwAAAAA=&#10;">
                  <v:fill on="f" focussize="0,0"/>
                  <v:stroke weight="0.5pt" color="#5B9BD5" joinstyle="miter" endarrow="open"/>
                  <v:imagedata o:title=""/>
                  <o:lock v:ext="edit" aspectratio="f"/>
                </v:shape>
                <v:shape id="_x0000_s1026" o:spid="_x0000_s1026" o:spt="32" type="#_x0000_t32" style="position:absolute;left:4955;top:5845;height:312;width:0;" filled="f" stroked="t" coordsize="21600,21600" o:gfxdata="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6egU7gAAADbAAAA&#10;DwAAAAAAAAABACAAAAAiAAAAZHJzL2Rvd25yZXYueG1sUEsBAhQAFAAAAAgAh07iQDMvBZ47AAAA&#10;OQAAABAAAAAAAAAAAQAgAAAABwEAAGRycy9zaGFwZXhtbC54bWxQSwUGAAAAAAYABgBbAQAAsQMA&#10;AAAA&#10;">
                  <v:fill on="f" focussize="0,0"/>
                  <v:stroke weight="0.5pt" color="#5B9BD5" joinstyle="miter" endarrow="open"/>
                  <v:imagedata o:title=""/>
                  <o:lock v:ext="edit" aspectratio="f"/>
                </v:shape>
                <v:shape id="_x0000_s1026" o:spid="_x0000_s1026" o:spt="32" type="#_x0000_t32" style="position:absolute;left:5002;top:7414;height:437;width:1;" filled="f" stroked="t" coordsize="21600,21600" o:gfxdata="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OsFyLsAAADb&#10;AAAADwAAAAAAAAABACAAAAAiAAAAZHJzL2Rvd25yZXYueG1sUEsBAhQAFAAAAAgAh07iQDMvBZ47&#10;AAAAOQAAABAAAAAAAAAAAQAgAAAACgEAAGRycy9zaGFwZXhtbC54bWxQSwUGAAAAAAYABgBbAQAA&#10;tAMAAAAA&#10;">
                  <v:fill on="f" focussize="0,0"/>
                  <v:stroke weight="0.5pt" color="#5B9BD5" joinstyle="miter" endarrow="open"/>
                  <v:imagedata o:title=""/>
                  <o:lock v:ext="edit" aspectratio="f"/>
                </v:shape>
                <v:shape id="_x0000_s1026" o:spid="_x0000_s1026" o:spt="32" type="#_x0000_t32" style="position:absolute;left:4970;top:6596;height:364;width:0;" filled="f" stroked="t" coordsize="21600,21600" o:gfxdata="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dffKLgAAADbAAAA&#10;DwAAAAAAAAABACAAAAAiAAAAZHJzL2Rvd25yZXYueG1sUEsBAhQAFAAAAAgAh07iQDMvBZ47AAAA&#10;OQAAABAAAAAAAAAAAQAgAAAABwEAAGRycy9zaGFwZXhtbC54bWxQSwUGAAAAAAYABgBbAQAAsQMA&#10;AAAA&#10;">
                  <v:fill on="f" focussize="0,0"/>
                  <v:stroke weight="0.5pt" color="#5B9BD5" joinstyle="miter" endarrow="open"/>
                  <v:imagedata o:title=""/>
                  <o:lock v:ext="edit" aspectratio="f"/>
                </v:shape>
                <v:shape id="_x0000_s1026" o:spid="_x0000_s1026" o:spt="32" type="#_x0000_t32" style="position:absolute;left:4975;top:8274;flip:x;height:567;width:0;" filled="f" stroked="t" coordsize="21600,21600" o:gfxdata="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TqD+vQAA&#10;ANsAAAAPAAAAAAAAAAEAIAAAACIAAABkcnMvZG93bnJldi54bWxQSwECFAAUAAAACACHTuJAMy8F&#10;njsAAAA5AAAAEAAAAAAAAAABACAAAAAMAQAAZHJzL3NoYXBleG1sLnhtbFBLBQYAAAAABgAGAFsB&#10;AAC2AwAAAAA=&#10;">
                  <v:fill on="f" focussize="0,0"/>
                  <v:stroke weight="0.5pt" color="#5B9BD5" joinstyle="miter" endarrow="open"/>
                  <v:imagedata o:title=""/>
                  <o:lock v:ext="edit" aspectratio="f"/>
                </v:shape>
                <v:shape id="_x0000_s1026" o:spid="_x0000_s1026" o:spt="32" type="#_x0000_t32" style="position:absolute;left:4886;top:10214;flip:x;height:454;width:5;" filled="f" stroked="t" coordsize="21600,21600" o:gfxdata="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nD6JvQAA&#10;ANsAAAAPAAAAAAAAAAEAIAAAACIAAABkcnMvZG93bnJldi54bWxQSwECFAAUAAAACACHTuJAMy8F&#10;njsAAAA5AAAAEAAAAAAAAAABACAAAAAMAQAAZHJzL3NoYXBleG1sLnhtbFBLBQYAAAAABgAGAFsB&#10;AAC2AwAAAAA=&#10;">
                  <v:fill on="f" focussize="0,0"/>
                  <v:stroke weight="0.5pt" color="#5B9BD5" joinstyle="miter" endarrow="open"/>
                  <v:imagedata o:title=""/>
                  <o:lock v:ext="edit" aspectratio="f"/>
                </v:shape>
                <w10:wrap type="none"/>
                <w10:anchorlock/>
              </v:group>
            </w:pict>
          </mc:Fallback>
        </mc:AlternateContent>
      </w:r>
    </w:p>
    <w:p>
      <w:pPr>
        <w:keepNext w:val="0"/>
        <w:keepLines w:val="0"/>
        <w:pageBreakBefore w:val="0"/>
        <w:kinsoku/>
        <w:wordWrap/>
        <w:topLinePunct w:val="0"/>
        <w:bidi w:val="0"/>
        <w:spacing w:line="560" w:lineRule="exact"/>
        <w:ind w:left="0" w:leftChars="0" w:firstLine="562" w:firstLineChars="200"/>
        <w:textAlignment w:val="auto"/>
        <w:rPr>
          <w:rFonts w:hint="eastAsia" w:ascii="Times New Roman" w:hAnsi="Times New Roman" w:eastAsia="宋体" w:cs="宋体"/>
          <w:b/>
          <w:bCs/>
          <w:sz w:val="28"/>
          <w:szCs w:val="28"/>
        </w:rPr>
      </w:pPr>
      <w:r>
        <w:rPr>
          <w:rFonts w:hint="eastAsia" w:ascii="Times New Roman" w:hAnsi="Times New Roman" w:eastAsia="宋体" w:cs="宋体"/>
          <w:b/>
          <w:bCs/>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科室管理制度</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Times New Roman" w:hAnsi="Times New Roman" w:eastAsia="宋体" w:cs="宋体"/>
          <w:bCs/>
          <w:sz w:val="28"/>
          <w:szCs w:val="28"/>
        </w:rPr>
      </w:pPr>
      <w:r>
        <w:rPr>
          <w:rFonts w:hint="eastAsia" w:ascii="Times New Roman" w:hAnsi="Times New Roman" w:eastAsia="宋体" w:cs="宋体"/>
          <w:bCs/>
          <w:sz w:val="28"/>
          <w:szCs w:val="28"/>
        </w:rPr>
        <w:t>一、科室主要承担糖尿病患者的诊疗、管理、随访、签约等工作。</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Times New Roman" w:hAnsi="Times New Roman" w:eastAsia="宋体" w:cs="宋体"/>
          <w:bCs/>
          <w:sz w:val="28"/>
          <w:szCs w:val="28"/>
        </w:rPr>
      </w:pPr>
      <w:r>
        <w:rPr>
          <w:rFonts w:hint="eastAsia" w:ascii="Times New Roman" w:hAnsi="Times New Roman" w:eastAsia="宋体" w:cs="宋体"/>
          <w:bCs/>
          <w:sz w:val="28"/>
          <w:szCs w:val="28"/>
        </w:rPr>
        <w:t>二、科室应有相对独立的单人诊区,私密性良好的诊疗环境,严格消毒避免交叉感染,保持清洁整齐。</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Times New Roman" w:hAnsi="Times New Roman" w:eastAsia="宋体" w:cs="宋体"/>
          <w:bCs/>
          <w:sz w:val="28"/>
          <w:szCs w:val="28"/>
        </w:rPr>
      </w:pPr>
      <w:r>
        <w:rPr>
          <w:rFonts w:hint="eastAsia" w:ascii="Times New Roman" w:hAnsi="Times New Roman" w:eastAsia="宋体" w:cs="宋体"/>
          <w:bCs/>
          <w:sz w:val="28"/>
          <w:szCs w:val="28"/>
        </w:rPr>
        <w:t>三、落实首诊负责制,接诊医师为首诊责任人。首诊医师对病人进行初步诊断,并做出相应处理,不允许任何推诿或变相推诿现象。</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Times New Roman" w:hAnsi="Times New Roman" w:eastAsia="宋体" w:cs="宋体"/>
          <w:bCs/>
          <w:sz w:val="28"/>
          <w:szCs w:val="28"/>
        </w:rPr>
      </w:pPr>
      <w:r>
        <w:rPr>
          <w:rFonts w:hint="eastAsia" w:ascii="Times New Roman" w:hAnsi="Times New Roman" w:eastAsia="宋体" w:cs="宋体"/>
          <w:bCs/>
          <w:sz w:val="28"/>
          <w:szCs w:val="28"/>
        </w:rPr>
        <w:t>四、全科医师应对糖尿病患者的健康状况进行全面整体的检查和评估,并将结果记录健康档案，主动与患者进行家庭医生签约，提供连续性随访管理。</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Times New Roman" w:hAnsi="Times New Roman" w:eastAsia="宋体" w:cs="宋体"/>
          <w:bCs/>
          <w:sz w:val="28"/>
          <w:szCs w:val="28"/>
        </w:rPr>
      </w:pPr>
      <w:r>
        <w:rPr>
          <w:rFonts w:hint="eastAsia" w:ascii="Times New Roman" w:hAnsi="Times New Roman" w:eastAsia="宋体" w:cs="宋体"/>
          <w:bCs/>
          <w:sz w:val="28"/>
          <w:szCs w:val="28"/>
        </w:rPr>
        <w:t>五、护士应根据病人具体情况,有针对性地进行糖尿病饮食、运动、心理等方面的健康指导，发放健康教育处方,并记入健康档案。</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Times New Roman" w:hAnsi="Times New Roman" w:eastAsia="宋体" w:cs="宋体"/>
          <w:bCs/>
          <w:sz w:val="28"/>
          <w:szCs w:val="28"/>
        </w:rPr>
      </w:pPr>
      <w:r>
        <w:rPr>
          <w:rFonts w:hint="eastAsia" w:ascii="Times New Roman" w:hAnsi="Times New Roman" w:eastAsia="宋体" w:cs="宋体"/>
          <w:bCs/>
          <w:sz w:val="28"/>
          <w:szCs w:val="28"/>
        </w:rPr>
        <w:t>六、对于连续两次随访血糖不达标者，预约医联体专家门诊或转诊至上级医院进一步诊治，对需要转诊患者提供预约转诊服务。对急诊抢救的危重病人，应就地抢救治疗;如设备、条件有限，在应急对症处理的同时，及时联系120 将患者转运到上级医院。</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Times New Roman" w:hAnsi="Times New Roman" w:eastAsia="宋体" w:cs="宋体"/>
          <w:b/>
          <w:bCs/>
          <w:sz w:val="28"/>
          <w:szCs w:val="28"/>
        </w:rPr>
      </w:pPr>
      <w:r>
        <w:rPr>
          <w:rFonts w:hint="eastAsia" w:ascii="Times New Roman" w:hAnsi="Times New Roman" w:eastAsia="宋体" w:cs="宋体"/>
          <w:bCs/>
          <w:sz w:val="28"/>
          <w:szCs w:val="28"/>
        </w:rPr>
        <w:t>七、认真填写门诊日志及相应信息,按时上报。</w:t>
      </w:r>
    </w:p>
    <w:p>
      <w:pPr>
        <w:rPr>
          <w:rFonts w:hint="eastAsia" w:ascii="Times New Roman" w:hAnsi="Times New Roman" w:eastAsia="宋体" w:cs="宋体"/>
          <w:b/>
          <w:bCs/>
          <w:color w:val="000000" w:themeColor="text1"/>
          <w:sz w:val="28"/>
          <w:szCs w:val="28"/>
          <w14:textFill>
            <w14:solidFill>
              <w14:schemeClr w14:val="tx1"/>
            </w14:solidFill>
          </w14:textFill>
        </w:rPr>
      </w:pPr>
      <w:r>
        <w:rPr>
          <w:rFonts w:hint="eastAsia" w:ascii="Times New Roman" w:hAnsi="Times New Roman" w:eastAsia="宋体" w:cs="宋体"/>
          <w:b/>
          <w:bCs/>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人员培训制度</w:t>
      </w:r>
    </w:p>
    <w:p>
      <w:pPr>
        <w:keepNext w:val="0"/>
        <w:keepLines w:val="0"/>
        <w:pageBreakBefore w:val="0"/>
        <w:numPr>
          <w:ilvl w:val="0"/>
          <w:numId w:val="1"/>
        </w:numPr>
        <w:kinsoku/>
        <w:wordWrap/>
        <w:topLinePunct w:val="0"/>
        <w:autoSpaceDE/>
        <w:autoSpaceDN/>
        <w:bidi w:val="0"/>
        <w:adjustRightInd/>
        <w:snapToGrid/>
        <w:spacing w:line="560" w:lineRule="exact"/>
        <w:ind w:firstLine="560" w:firstLineChars="200"/>
        <w:textAlignment w:val="auto"/>
        <w:outlineLvl w:val="0"/>
        <w:rPr>
          <w:rFonts w:hint="eastAsia" w:ascii="Times New Roman" w:hAnsi="Times New Roman" w:eastAsia="宋体" w:cs="宋体"/>
          <w:color w:val="000000" w:themeColor="text1"/>
          <w:sz w:val="28"/>
          <w:szCs w:val="28"/>
          <w14:textFill>
            <w14:solidFill>
              <w14:schemeClr w14:val="tx1"/>
            </w14:solidFill>
          </w14:textFill>
        </w:rPr>
      </w:pPr>
      <w:r>
        <w:rPr>
          <w:rFonts w:hint="eastAsia" w:ascii="Times New Roman" w:hAnsi="Times New Roman" w:eastAsia="宋体" w:cs="宋体"/>
          <w:color w:val="000000" w:themeColor="text1"/>
          <w:sz w:val="28"/>
          <w:szCs w:val="28"/>
          <w14:textFill>
            <w14:solidFill>
              <w14:schemeClr w14:val="tx1"/>
            </w14:solidFill>
          </w14:textFill>
        </w:rPr>
        <w:t>科室定期开展糖尿病相关指南学习、新知识新进展培训及病例讨论等，科内全科医生和护士均应参加学习，不得无故缺席。</w:t>
      </w:r>
    </w:p>
    <w:p>
      <w:pPr>
        <w:keepNext w:val="0"/>
        <w:keepLines w:val="0"/>
        <w:pageBreakBefore w:val="0"/>
        <w:widowControl/>
        <w:numPr>
          <w:ilvl w:val="0"/>
          <w:numId w:val="1"/>
        </w:numPr>
        <w:kinsoku/>
        <w:wordWrap/>
        <w:topLinePunct w:val="0"/>
        <w:autoSpaceDE/>
        <w:autoSpaceDN/>
        <w:bidi w:val="0"/>
        <w:adjustRightInd/>
        <w:snapToGrid/>
        <w:spacing w:line="560" w:lineRule="exact"/>
        <w:ind w:firstLine="560" w:firstLineChars="200"/>
        <w:textAlignment w:val="auto"/>
        <w:outlineLvl w:val="0"/>
        <w:rPr>
          <w:rFonts w:hint="eastAsia" w:ascii="Times New Roman" w:hAnsi="Times New Roman" w:eastAsia="宋体" w:cs="宋体"/>
          <w:color w:val="000000" w:themeColor="text1"/>
          <w:sz w:val="28"/>
          <w:szCs w:val="28"/>
          <w14:textFill>
            <w14:solidFill>
              <w14:schemeClr w14:val="tx1"/>
            </w14:solidFill>
          </w14:textFill>
        </w:rPr>
      </w:pPr>
      <w:r>
        <w:rPr>
          <w:rFonts w:hint="eastAsia" w:ascii="Times New Roman" w:hAnsi="Times New Roman" w:eastAsia="宋体" w:cs="宋体"/>
          <w:color w:val="000000" w:themeColor="text1"/>
          <w:sz w:val="28"/>
          <w:szCs w:val="28"/>
          <w14:textFill>
            <w14:solidFill>
              <w14:schemeClr w14:val="tx1"/>
            </w14:solidFill>
          </w14:textFill>
        </w:rPr>
        <w:t>科室人员必须参加北京市统一规范培训，保证出勤。全科医生、护士均应达到规定学时，并通过培训考核，取得合格证书。</w:t>
      </w:r>
    </w:p>
    <w:p>
      <w:pPr>
        <w:keepNext w:val="0"/>
        <w:keepLines w:val="0"/>
        <w:pageBreakBefore w:val="0"/>
        <w:widowControl/>
        <w:numPr>
          <w:ilvl w:val="0"/>
          <w:numId w:val="1"/>
        </w:numPr>
        <w:kinsoku/>
        <w:wordWrap/>
        <w:topLinePunct w:val="0"/>
        <w:autoSpaceDE/>
        <w:autoSpaceDN/>
        <w:bidi w:val="0"/>
        <w:adjustRightInd/>
        <w:snapToGrid/>
        <w:spacing w:line="560" w:lineRule="exact"/>
        <w:ind w:firstLine="560" w:firstLineChars="200"/>
        <w:textAlignment w:val="auto"/>
        <w:outlineLvl w:val="0"/>
        <w:rPr>
          <w:rFonts w:hint="eastAsia" w:ascii="Times New Roman" w:hAnsi="Times New Roman" w:eastAsia="宋体" w:cs="宋体"/>
          <w:color w:val="000000" w:themeColor="text1"/>
          <w:sz w:val="28"/>
          <w:szCs w:val="28"/>
          <w14:textFill>
            <w14:solidFill>
              <w14:schemeClr w14:val="tx1"/>
            </w14:solidFill>
          </w14:textFill>
        </w:rPr>
      </w:pPr>
      <w:r>
        <w:rPr>
          <w:rFonts w:hint="eastAsia" w:ascii="Times New Roman" w:hAnsi="Times New Roman" w:eastAsia="宋体" w:cs="宋体"/>
          <w:color w:val="000000" w:themeColor="text1"/>
          <w:sz w:val="28"/>
          <w:szCs w:val="28"/>
          <w14:textFill>
            <w14:solidFill>
              <w14:schemeClr w14:val="tx1"/>
            </w14:solidFill>
          </w14:textFill>
        </w:rPr>
        <w:t>申报当年，专病特色科室工作的全科医生和护士应到培育基地完成不少于一个月的进修学习。市级评审通过后，每两年到培育基地完成一次进修学习，时间不少于一个月。</w:t>
      </w:r>
    </w:p>
    <w:p>
      <w:pPr>
        <w:keepNext w:val="0"/>
        <w:keepLines w:val="0"/>
        <w:pageBreakBefore w:val="0"/>
        <w:widowControl/>
        <w:numPr>
          <w:ilvl w:val="0"/>
          <w:numId w:val="1"/>
        </w:numPr>
        <w:kinsoku/>
        <w:wordWrap/>
        <w:topLinePunct w:val="0"/>
        <w:autoSpaceDE/>
        <w:autoSpaceDN/>
        <w:bidi w:val="0"/>
        <w:adjustRightInd/>
        <w:snapToGrid/>
        <w:spacing w:line="560" w:lineRule="exact"/>
        <w:ind w:firstLine="560" w:firstLineChars="200"/>
        <w:textAlignment w:val="auto"/>
        <w:outlineLvl w:val="0"/>
        <w:rPr>
          <w:rFonts w:hint="eastAsia" w:ascii="Times New Roman" w:hAnsi="Times New Roman" w:eastAsia="宋体" w:cs="宋体"/>
          <w:color w:val="000000" w:themeColor="text1"/>
          <w:sz w:val="28"/>
          <w:szCs w:val="28"/>
          <w14:textFill>
            <w14:solidFill>
              <w14:schemeClr w14:val="tx1"/>
            </w14:solidFill>
          </w14:textFill>
        </w:rPr>
      </w:pPr>
      <w:r>
        <w:rPr>
          <w:rFonts w:hint="eastAsia" w:ascii="Times New Roman" w:hAnsi="Times New Roman" w:eastAsia="宋体" w:cs="宋体"/>
          <w:color w:val="000000" w:themeColor="text1"/>
          <w:sz w:val="28"/>
          <w:szCs w:val="28"/>
          <w14:textFill>
            <w14:solidFill>
              <w14:schemeClr w14:val="tx1"/>
            </w14:solidFill>
          </w14:textFill>
        </w:rPr>
        <w:t>按要求参加北京市社区卫生人员岗位练兵，积极提高糖尿病的临床诊疗能力。</w:t>
      </w:r>
    </w:p>
    <w:p>
      <w:pPr>
        <w:keepNext w:val="0"/>
        <w:keepLines w:val="0"/>
        <w:pageBreakBefore w:val="0"/>
        <w:kinsoku/>
        <w:wordWrap/>
        <w:overflowPunct w:val="0"/>
        <w:topLinePunct w:val="0"/>
        <w:autoSpaceDE/>
        <w:autoSpaceDN/>
        <w:bidi w:val="0"/>
        <w:adjustRightInd/>
        <w:snapToGrid/>
        <w:spacing w:line="560" w:lineRule="exact"/>
        <w:ind w:firstLine="560" w:firstLineChars="200"/>
        <w:textAlignment w:val="auto"/>
        <w:rPr>
          <w:rFonts w:hint="eastAsia" w:ascii="Times New Roman" w:hAnsi="Times New Roman" w:eastAsia="宋体" w:cs="宋体"/>
          <w:color w:val="000000" w:themeColor="text1"/>
          <w:sz w:val="28"/>
          <w:szCs w:val="28"/>
          <w14:textFill>
            <w14:solidFill>
              <w14:schemeClr w14:val="tx1"/>
            </w14:solidFill>
          </w14:textFill>
        </w:rPr>
      </w:pPr>
      <w:r>
        <w:rPr>
          <w:rFonts w:hint="eastAsia" w:ascii="Times New Roman" w:hAnsi="Times New Roman" w:eastAsia="宋体" w:cs="宋体"/>
          <w:color w:val="000000" w:themeColor="text1"/>
          <w:sz w:val="28"/>
          <w:szCs w:val="28"/>
          <w14:textFill>
            <w14:solidFill>
              <w14:schemeClr w14:val="tx1"/>
            </w14:solidFill>
          </w14:textFill>
        </w:rPr>
        <w:t>五、通过过程性评估和操作考核，加强人员培训的效果评估。经过2-3年的培训培养，全科医生应能够熟练掌握糖尿病诊断、治疗、随访和管理。熟练掌握检测血糖的技能、胰岛素注射技能、能分析出现问题的原因。护士应能够掌握糖尿病诊断标准，了解2型糖尿病的常用药物，能够配合医生完成糖尿病患者的筛查、随访、健康教育等综合管理工作。</w:t>
      </w:r>
    </w:p>
    <w:p>
      <w:pPr>
        <w:rPr>
          <w:rFonts w:hint="eastAsia" w:ascii="Times New Roman" w:hAnsi="Times New Roman" w:eastAsia="宋体" w:cs="宋体"/>
          <w:b/>
          <w:bCs/>
          <w:color w:val="000000" w:themeColor="text1"/>
          <w:sz w:val="28"/>
          <w:szCs w:val="28"/>
          <w14:textFill>
            <w14:solidFill>
              <w14:schemeClr w14:val="tx1"/>
            </w14:solidFill>
          </w14:textFill>
        </w:rPr>
      </w:pPr>
      <w:r>
        <w:rPr>
          <w:rFonts w:hint="eastAsia" w:ascii="Times New Roman" w:hAnsi="Times New Roman" w:eastAsia="宋体" w:cs="宋体"/>
          <w:b/>
          <w:bCs/>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人员岗位职责</w:t>
      </w:r>
    </w:p>
    <w:p>
      <w:pPr>
        <w:pStyle w:val="22"/>
        <w:keepNext w:val="0"/>
        <w:keepLines w:val="0"/>
        <w:pageBreakBefore w:val="0"/>
        <w:numPr>
          <w:ilvl w:val="255"/>
          <w:numId w:val="0"/>
        </w:numPr>
        <w:kinsoku/>
        <w:wordWrap/>
        <w:overflowPunct w:val="0"/>
        <w:topLinePunct w:val="0"/>
        <w:autoSpaceDE/>
        <w:autoSpaceDN/>
        <w:bidi w:val="0"/>
        <w:spacing w:line="560" w:lineRule="exact"/>
        <w:ind w:left="0" w:leftChars="0" w:firstLine="562" w:firstLineChars="200"/>
        <w:jc w:val="both"/>
        <w:textAlignment w:val="auto"/>
        <w:rPr>
          <w:rFonts w:hint="eastAsia" w:ascii="Times New Roman" w:hAnsi="Times New Roman" w:eastAsia="宋体" w:cs="宋体"/>
          <w:b/>
          <w:bCs/>
          <w:color w:val="auto"/>
          <w:kern w:val="0"/>
          <w:sz w:val="28"/>
          <w:szCs w:val="28"/>
        </w:rPr>
      </w:pPr>
      <w:r>
        <w:rPr>
          <w:rFonts w:hint="eastAsia" w:ascii="Times New Roman" w:hAnsi="Times New Roman" w:eastAsia="宋体" w:cs="宋体"/>
          <w:b/>
          <w:color w:val="auto"/>
          <w:kern w:val="0"/>
          <w:sz w:val="28"/>
          <w:szCs w:val="28"/>
        </w:rPr>
        <w:t>科主任</w:t>
      </w:r>
      <w:r>
        <w:rPr>
          <w:rFonts w:hint="eastAsia" w:ascii="Times New Roman" w:hAnsi="Times New Roman" w:eastAsia="宋体" w:cs="宋体"/>
          <w:b/>
          <w:bCs/>
          <w:color w:val="auto"/>
          <w:kern w:val="0"/>
          <w:sz w:val="28"/>
          <w:szCs w:val="28"/>
        </w:rPr>
        <w:t>职责:</w:t>
      </w:r>
    </w:p>
    <w:p>
      <w:pPr>
        <w:pStyle w:val="22"/>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lang w:val="en-US" w:eastAsia="zh-CN"/>
        </w:rPr>
        <w:t>一、</w:t>
      </w:r>
      <w:r>
        <w:rPr>
          <w:rFonts w:hint="eastAsia" w:ascii="Times New Roman" w:hAnsi="Times New Roman" w:eastAsia="宋体" w:cs="宋体"/>
          <w:color w:val="auto"/>
          <w:kern w:val="0"/>
          <w:sz w:val="28"/>
          <w:szCs w:val="28"/>
        </w:rPr>
        <w:t>在中心主任或主管主任领导下，负责本科室的医疗、教学、科研、预防及行政管理工作。</w:t>
      </w:r>
    </w:p>
    <w:p>
      <w:pPr>
        <w:pStyle w:val="22"/>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二、制定糖尿病特色科室的工作计划，组织实施，经常督促检查，按期总结汇报。</w:t>
      </w:r>
    </w:p>
    <w:p>
      <w:pPr>
        <w:pStyle w:val="22"/>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三、督促本团队成员，认真执行各项规章制度、糖尿病的诊疗常规和糖尿病的技术操作常规，保证医疗质量，严防差错事故。</w:t>
      </w:r>
    </w:p>
    <w:p>
      <w:pPr>
        <w:pStyle w:val="22"/>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四、带领本团队人员，对糖尿病患者进行医疗工作，完成医疗任务。</w:t>
      </w:r>
    </w:p>
    <w:p>
      <w:pPr>
        <w:pStyle w:val="22"/>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五、参加糖尿病特色门诊出诊；定期组织有关糖尿病的病例讨论，研究解决重危疑难病例诊断治疗问题，决定患者的转诊、转院。   </w:t>
      </w:r>
    </w:p>
    <w:p>
      <w:pPr>
        <w:pStyle w:val="22"/>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六、组织科内人员学习、运用国内外医学先进经验，开展新技术、新疗法，进行科研工作，及时总结经验。</w:t>
      </w:r>
    </w:p>
    <w:p>
      <w:pPr>
        <w:pStyle w:val="22"/>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七、组织开展科内人员的业务训练和技术考核，妥善安排进修、实习人员的培训工作。</w:t>
      </w:r>
    </w:p>
    <w:p>
      <w:pPr>
        <w:pStyle w:val="22"/>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八、遵照中心规章制度，及时解决科内发现的各种问题，提出调配、奖惩意见，如遇特殊情况，及时上报中心领导。</w:t>
      </w:r>
    </w:p>
    <w:p>
      <w:pPr>
        <w:pStyle w:val="22"/>
        <w:keepNext w:val="0"/>
        <w:keepLines w:val="0"/>
        <w:pageBreakBefore w:val="0"/>
        <w:numPr>
          <w:ilvl w:val="255"/>
          <w:numId w:val="0"/>
        </w:numPr>
        <w:kinsoku/>
        <w:wordWrap/>
        <w:overflowPunct w:val="0"/>
        <w:topLinePunct w:val="0"/>
        <w:autoSpaceDE/>
        <w:autoSpaceDN/>
        <w:bidi w:val="0"/>
        <w:adjustRightInd w:val="0"/>
        <w:spacing w:line="560" w:lineRule="exact"/>
        <w:ind w:left="0" w:leftChars="0" w:firstLine="562" w:firstLineChars="200"/>
        <w:jc w:val="both"/>
        <w:textAlignment w:val="auto"/>
        <w:rPr>
          <w:rFonts w:hint="eastAsia" w:ascii="Times New Roman" w:hAnsi="Times New Roman" w:eastAsia="宋体" w:cs="宋体"/>
          <w:b/>
          <w:color w:val="auto"/>
          <w:kern w:val="0"/>
          <w:sz w:val="28"/>
          <w:szCs w:val="28"/>
        </w:rPr>
      </w:pPr>
    </w:p>
    <w:p>
      <w:pPr>
        <w:pStyle w:val="22"/>
        <w:keepNext w:val="0"/>
        <w:keepLines w:val="0"/>
        <w:pageBreakBefore w:val="0"/>
        <w:numPr>
          <w:ilvl w:val="255"/>
          <w:numId w:val="0"/>
        </w:numPr>
        <w:kinsoku/>
        <w:wordWrap/>
        <w:overflowPunct w:val="0"/>
        <w:topLinePunct w:val="0"/>
        <w:autoSpaceDE/>
        <w:autoSpaceDN/>
        <w:bidi w:val="0"/>
        <w:adjustRightInd w:val="0"/>
        <w:spacing w:line="560" w:lineRule="exact"/>
        <w:ind w:left="0" w:leftChars="0" w:firstLine="562" w:firstLineChars="200"/>
        <w:jc w:val="both"/>
        <w:textAlignment w:val="auto"/>
        <w:rPr>
          <w:rFonts w:hint="eastAsia" w:ascii="Times New Roman" w:hAnsi="Times New Roman" w:eastAsia="宋体" w:cs="宋体"/>
          <w:b/>
          <w:bCs/>
          <w:color w:val="auto"/>
          <w:kern w:val="0"/>
          <w:sz w:val="28"/>
          <w:szCs w:val="28"/>
          <w:lang w:eastAsia="zh-CN"/>
        </w:rPr>
      </w:pPr>
      <w:r>
        <w:rPr>
          <w:rFonts w:hint="eastAsia" w:ascii="Times New Roman" w:hAnsi="Times New Roman" w:eastAsia="宋体" w:cs="宋体"/>
          <w:b/>
          <w:color w:val="auto"/>
          <w:kern w:val="0"/>
          <w:sz w:val="28"/>
          <w:szCs w:val="28"/>
        </w:rPr>
        <w:t>全科</w:t>
      </w:r>
      <w:r>
        <w:rPr>
          <w:rFonts w:hint="eastAsia" w:ascii="Times New Roman" w:hAnsi="Times New Roman" w:eastAsia="宋体" w:cs="宋体"/>
          <w:b/>
          <w:bCs/>
          <w:color w:val="auto"/>
          <w:kern w:val="0"/>
          <w:sz w:val="28"/>
          <w:szCs w:val="28"/>
        </w:rPr>
        <w:t>医师职责:</w:t>
      </w:r>
    </w:p>
    <w:p>
      <w:pPr>
        <w:pStyle w:val="22"/>
        <w:keepNext w:val="0"/>
        <w:keepLines w:val="0"/>
        <w:pageBreakBefore w:val="0"/>
        <w:numPr>
          <w:ilvl w:val="255"/>
          <w:numId w:val="0"/>
        </w:numPr>
        <w:kinsoku/>
        <w:wordWrap/>
        <w:overflowPunct w:val="0"/>
        <w:topLinePunct w:val="0"/>
        <w:autoSpaceDE/>
        <w:autoSpaceDN/>
        <w:bidi w:val="0"/>
        <w:adjustRightInd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一、开展对糖尿病高危人群筛查。</w:t>
      </w:r>
    </w:p>
    <w:p>
      <w:pPr>
        <w:pStyle w:val="22"/>
        <w:keepNext w:val="0"/>
        <w:keepLines w:val="0"/>
        <w:pageBreakBefore w:val="0"/>
        <w:numPr>
          <w:ilvl w:val="255"/>
          <w:numId w:val="0"/>
        </w:numPr>
        <w:kinsoku/>
        <w:wordWrap/>
        <w:overflowPunct w:val="0"/>
        <w:topLinePunct w:val="0"/>
        <w:autoSpaceDE/>
        <w:autoSpaceDN/>
        <w:bidi w:val="0"/>
        <w:adjustRightInd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kern w:val="0"/>
          <w:sz w:val="28"/>
          <w:szCs w:val="28"/>
        </w:rPr>
        <w:t>二、对糖尿病患者进行综合管理，</w:t>
      </w:r>
      <w:r>
        <w:rPr>
          <w:rFonts w:hint="eastAsia" w:ascii="Times New Roman" w:hAnsi="Times New Roman" w:eastAsia="宋体" w:cs="宋体"/>
          <w:color w:val="auto"/>
          <w:sz w:val="28"/>
          <w:szCs w:val="28"/>
        </w:rPr>
        <w:t>以生物-心理-社会医学模式为基础，对患者提供基础性、可及性、连续性、综合性治疗。</w:t>
      </w:r>
    </w:p>
    <w:p>
      <w:pPr>
        <w:pStyle w:val="22"/>
        <w:keepNext w:val="0"/>
        <w:keepLines w:val="0"/>
        <w:pageBreakBefore w:val="0"/>
        <w:numPr>
          <w:ilvl w:val="255"/>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三、做好生活方式的指导，以医患共同决策为原则同患者一同制定饮食方案、运动计划、体重管理计划等并督导其执行情况。</w:t>
      </w:r>
    </w:p>
    <w:p>
      <w:pPr>
        <w:pStyle w:val="22"/>
        <w:keepNext w:val="0"/>
        <w:keepLines w:val="0"/>
        <w:pageBreakBefore w:val="0"/>
        <w:numPr>
          <w:ilvl w:val="255"/>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bCs/>
          <w:color w:val="auto"/>
          <w:kern w:val="0"/>
          <w:sz w:val="28"/>
          <w:szCs w:val="28"/>
        </w:rPr>
        <w:t>四、</w:t>
      </w:r>
      <w:r>
        <w:rPr>
          <w:rFonts w:hint="eastAsia" w:ascii="Times New Roman" w:hAnsi="Times New Roman" w:eastAsia="宋体" w:cs="宋体"/>
          <w:color w:val="auto"/>
          <w:sz w:val="28"/>
          <w:szCs w:val="28"/>
        </w:rPr>
        <w:t>对于糖尿病患者多病共患情况，要兼顾其他疾病的管理，关注药物之间的相互作用。</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lang w:eastAsia="zh-CN"/>
        </w:rPr>
      </w:pPr>
      <w:r>
        <w:rPr>
          <w:rFonts w:hint="eastAsia" w:ascii="Times New Roman" w:hAnsi="Times New Roman" w:eastAsia="宋体" w:cs="宋体"/>
          <w:color w:val="auto"/>
          <w:sz w:val="28"/>
          <w:szCs w:val="28"/>
        </w:rPr>
        <w:t>五、评估患者的经济情况，家庭支持情况及心理健康问题。</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lang w:eastAsia="zh-CN"/>
        </w:rPr>
      </w:pPr>
      <w:r>
        <w:rPr>
          <w:rFonts w:hint="eastAsia" w:ascii="Times New Roman" w:hAnsi="Times New Roman" w:eastAsia="宋体" w:cs="宋体"/>
          <w:color w:val="auto"/>
          <w:kern w:val="0"/>
          <w:sz w:val="28"/>
          <w:szCs w:val="28"/>
        </w:rPr>
        <w:t>六、建立并使用居民健康档案，开展对糖尿病患者与高危人群的健康管理。</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lang w:eastAsia="zh-CN"/>
        </w:rPr>
      </w:pPr>
      <w:r>
        <w:rPr>
          <w:rFonts w:hint="eastAsia" w:ascii="Times New Roman" w:hAnsi="Times New Roman" w:eastAsia="宋体" w:cs="宋体"/>
          <w:color w:val="auto"/>
          <w:kern w:val="0"/>
          <w:sz w:val="28"/>
          <w:szCs w:val="28"/>
        </w:rPr>
        <w:t>七、制定健康教育为手段的健康促进工作方案，并组织实施，完成评估及总结工作。</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bCs/>
          <w:color w:val="auto"/>
          <w:sz w:val="28"/>
          <w:szCs w:val="28"/>
        </w:rPr>
      </w:pPr>
      <w:r>
        <w:rPr>
          <w:rFonts w:hint="eastAsia" w:ascii="Times New Roman" w:hAnsi="Times New Roman" w:eastAsia="宋体" w:cs="宋体"/>
          <w:color w:val="auto"/>
          <w:kern w:val="0"/>
          <w:sz w:val="28"/>
          <w:szCs w:val="28"/>
        </w:rPr>
        <w:t>八、</w:t>
      </w:r>
      <w:r>
        <w:rPr>
          <w:rFonts w:hint="eastAsia" w:ascii="Times New Roman" w:hAnsi="Times New Roman" w:eastAsia="宋体" w:cs="宋体"/>
          <w:bCs/>
          <w:color w:val="auto"/>
          <w:sz w:val="28"/>
          <w:szCs w:val="28"/>
        </w:rPr>
        <w:t>患者在诊断后，主动建立签约关系，纳入糖尿病规范管理中。</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bCs/>
          <w:color w:val="auto"/>
          <w:sz w:val="28"/>
          <w:szCs w:val="28"/>
        </w:rPr>
      </w:pPr>
      <w:r>
        <w:rPr>
          <w:rFonts w:hint="eastAsia" w:ascii="Times New Roman" w:hAnsi="Times New Roman" w:eastAsia="宋体" w:cs="宋体"/>
          <w:bCs/>
          <w:color w:val="auto"/>
          <w:sz w:val="28"/>
          <w:szCs w:val="28"/>
        </w:rPr>
        <w:t>九、高年资医师要带、帮、教低年资医师。</w:t>
      </w:r>
    </w:p>
    <w:p>
      <w:pPr>
        <w:keepNext w:val="0"/>
        <w:keepLines w:val="0"/>
        <w:pageBreakBefore w:val="0"/>
        <w:kinsoku/>
        <w:wordWrap/>
        <w:overflowPunct w:val="0"/>
        <w:topLinePunct w:val="0"/>
        <w:autoSpaceDE/>
        <w:autoSpaceDN/>
        <w:bidi w:val="0"/>
        <w:spacing w:line="560" w:lineRule="exact"/>
        <w:ind w:left="0" w:leftChars="0" w:firstLine="562" w:firstLineChars="200"/>
        <w:jc w:val="both"/>
        <w:textAlignment w:val="auto"/>
        <w:rPr>
          <w:rFonts w:hint="eastAsia" w:ascii="Times New Roman" w:hAnsi="Times New Roman" w:eastAsia="宋体" w:cs="宋体"/>
          <w:b/>
          <w:color w:val="auto"/>
          <w:kern w:val="0"/>
          <w:sz w:val="28"/>
          <w:szCs w:val="28"/>
        </w:rPr>
      </w:pPr>
    </w:p>
    <w:p>
      <w:pPr>
        <w:keepNext w:val="0"/>
        <w:keepLines w:val="0"/>
        <w:pageBreakBefore w:val="0"/>
        <w:kinsoku/>
        <w:wordWrap/>
        <w:overflowPunct w:val="0"/>
        <w:topLinePunct w:val="0"/>
        <w:autoSpaceDE/>
        <w:autoSpaceDN/>
        <w:bidi w:val="0"/>
        <w:spacing w:line="560" w:lineRule="exact"/>
        <w:ind w:left="0" w:leftChars="0" w:firstLine="562"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b/>
          <w:color w:val="auto"/>
          <w:kern w:val="0"/>
          <w:sz w:val="28"/>
          <w:szCs w:val="28"/>
        </w:rPr>
        <w:t>护士职责：</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一、在护理部和护士长的领导下，以及学科带头人的业务指导下开展工作，结合本学科的专业特点制定年度学习计划，按要求参加学习。 </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二、协助医生对糖尿病病人建立健康档案、针对性的进行健康指导，制定个体化饮食、运动计划等，定期组织糖尿病患者健康教育讲座等。 </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三、指导并参与制定糖尿病危重、疑难病例护理计划和护理技术操作。 </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四、开展对糖尿病病人的访视，接受咨询工作，并做好糖尿病人的电话回访，使其治疗及护理有连续性，提高病人依从性。</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五、积极开展临床研究，申报科研课题，开展新技术新业务，撰写护理论文。 </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六、积极协调医生、护士、患者及家属等方面的关系。</w:t>
      </w:r>
    </w:p>
    <w:p>
      <w:pPr>
        <w:keepNext w:val="0"/>
        <w:keepLines w:val="0"/>
        <w:pageBreakBefore w:val="0"/>
        <w:kinsoku/>
        <w:wordWrap/>
        <w:overflowPunct w:val="0"/>
        <w:topLinePunct w:val="0"/>
        <w:autoSpaceDE/>
        <w:autoSpaceDN/>
        <w:bidi w:val="0"/>
        <w:spacing w:line="560" w:lineRule="exact"/>
        <w:ind w:left="0" w:leftChars="0" w:firstLine="562" w:firstLineChars="200"/>
        <w:jc w:val="both"/>
        <w:textAlignment w:val="auto"/>
        <w:rPr>
          <w:rFonts w:hint="eastAsia" w:ascii="Times New Roman" w:hAnsi="Times New Roman" w:eastAsia="宋体" w:cs="宋体"/>
          <w:b/>
          <w:bCs/>
          <w:color w:val="auto"/>
          <w:kern w:val="0"/>
          <w:sz w:val="28"/>
          <w:szCs w:val="28"/>
        </w:rPr>
      </w:pPr>
    </w:p>
    <w:p>
      <w:pPr>
        <w:keepNext w:val="0"/>
        <w:keepLines w:val="0"/>
        <w:pageBreakBefore w:val="0"/>
        <w:kinsoku/>
        <w:wordWrap/>
        <w:overflowPunct w:val="0"/>
        <w:topLinePunct w:val="0"/>
        <w:autoSpaceDE/>
        <w:autoSpaceDN/>
        <w:bidi w:val="0"/>
        <w:spacing w:line="560" w:lineRule="exact"/>
        <w:ind w:left="0" w:leftChars="0" w:firstLine="562" w:firstLineChars="200"/>
        <w:jc w:val="both"/>
        <w:textAlignment w:val="auto"/>
        <w:rPr>
          <w:rFonts w:hint="eastAsia" w:ascii="Times New Roman" w:hAnsi="Times New Roman" w:eastAsia="宋体" w:cs="宋体"/>
          <w:b/>
          <w:bCs/>
          <w:color w:val="auto"/>
          <w:kern w:val="0"/>
          <w:sz w:val="28"/>
          <w:szCs w:val="28"/>
        </w:rPr>
      </w:pPr>
      <w:r>
        <w:rPr>
          <w:rFonts w:hint="eastAsia" w:ascii="Times New Roman" w:hAnsi="Times New Roman" w:eastAsia="宋体" w:cs="宋体"/>
          <w:b/>
          <w:bCs/>
          <w:color w:val="auto"/>
          <w:kern w:val="0"/>
          <w:sz w:val="28"/>
          <w:szCs w:val="28"/>
          <w:lang w:eastAsia="zh-CN"/>
        </w:rPr>
        <w:t>三级或专科医疗机构</w:t>
      </w:r>
      <w:r>
        <w:rPr>
          <w:rFonts w:hint="eastAsia" w:ascii="Times New Roman" w:hAnsi="Times New Roman" w:eastAsia="宋体" w:cs="宋体"/>
          <w:b/>
          <w:bCs/>
          <w:color w:val="auto"/>
          <w:kern w:val="0"/>
          <w:sz w:val="28"/>
          <w:szCs w:val="28"/>
        </w:rPr>
        <w:t>培育基地专家职责：</w:t>
      </w:r>
    </w:p>
    <w:p>
      <w:pPr>
        <w:pStyle w:val="13"/>
        <w:keepNext w:val="0"/>
        <w:keepLines w:val="0"/>
        <w:pageBreakBefore w:val="0"/>
        <w:numPr>
          <w:ilvl w:val="255"/>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一、协助社区机构建设糖尿病专病特色科室。</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二、积极帮扶科室相关医护人员的诊疗服务能力和管理水平的提升。</w:t>
      </w:r>
    </w:p>
    <w:p>
      <w:pPr>
        <w:pStyle w:val="13"/>
        <w:keepNext w:val="0"/>
        <w:keepLines w:val="0"/>
        <w:pageBreakBefore w:val="0"/>
        <w:numPr>
          <w:ilvl w:val="255"/>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三、对专病科室管理的糖尿病患者血糖长期不达标、波动较大出现严重并发症或全科医生诊治有困难的糖尿病患者给予积极的诊治处理。</w:t>
      </w:r>
    </w:p>
    <w:p>
      <w:pPr>
        <w:pStyle w:val="13"/>
        <w:keepNext w:val="0"/>
        <w:keepLines w:val="0"/>
        <w:pageBreakBefore w:val="0"/>
        <w:numPr>
          <w:ilvl w:val="255"/>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四、协调社区机构与三级糖尿病专科之间的急危重症及疑难杂症的转诊和诊疗指导。</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五、对社区机构组织的糖尿病相关病例讨论、健康教育讲座等进行指导和参与。</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六、指导社区机构积极开展糖尿病相关临床研究，申报科研课题，开展新技术、新业务，撰写论文等。 </w:t>
      </w:r>
    </w:p>
    <w:p>
      <w:pPr>
        <w:keepNext w:val="0"/>
        <w:keepLines w:val="0"/>
        <w:pageBreakBefore w:val="0"/>
        <w:kinsoku/>
        <w:wordWrap/>
        <w:topLinePunct w:val="0"/>
        <w:autoSpaceDE/>
        <w:autoSpaceDN/>
        <w:bidi w:val="0"/>
        <w:spacing w:line="560" w:lineRule="exact"/>
        <w:ind w:left="0" w:leftChars="0" w:firstLine="562" w:firstLineChars="200"/>
        <w:jc w:val="both"/>
        <w:textAlignment w:val="auto"/>
        <w:outlineLvl w:val="0"/>
        <w:rPr>
          <w:rFonts w:hint="eastAsia" w:ascii="Times New Roman" w:hAnsi="Times New Roman" w:eastAsia="宋体" w:cs="宋体"/>
          <w:b/>
          <w:bCs/>
          <w:color w:val="auto"/>
          <w:sz w:val="28"/>
          <w:szCs w:val="28"/>
        </w:rPr>
      </w:pPr>
    </w:p>
    <w:p>
      <w:pPr>
        <w:keepNext w:val="0"/>
        <w:keepLines w:val="0"/>
        <w:pageBreakBefore w:val="0"/>
        <w:kinsoku/>
        <w:wordWrap/>
        <w:topLinePunct w:val="0"/>
        <w:autoSpaceDE/>
        <w:autoSpaceDN/>
        <w:bidi w:val="0"/>
        <w:spacing w:line="560" w:lineRule="exact"/>
        <w:ind w:left="0" w:leftChars="0" w:firstLine="562" w:firstLineChars="200"/>
        <w:jc w:val="both"/>
        <w:textAlignment w:val="auto"/>
        <w:rPr>
          <w:rFonts w:hint="eastAsia" w:ascii="Times New Roman" w:hAnsi="Times New Roman" w:eastAsia="宋体" w:cs="宋体"/>
          <w:b/>
          <w:bCs/>
          <w:color w:val="auto"/>
          <w:sz w:val="28"/>
          <w:szCs w:val="28"/>
        </w:rPr>
      </w:pPr>
    </w:p>
    <w:p>
      <w:pPr>
        <w:keepNext w:val="0"/>
        <w:keepLines w:val="0"/>
        <w:pageBreakBefore w:val="0"/>
        <w:kinsoku/>
        <w:wordWrap/>
        <w:topLinePunct w:val="0"/>
        <w:autoSpaceDE/>
        <w:autoSpaceDN/>
        <w:bidi w:val="0"/>
        <w:spacing w:line="560" w:lineRule="exact"/>
        <w:ind w:left="0" w:leftChars="0" w:firstLine="562" w:firstLineChars="200"/>
        <w:jc w:val="both"/>
        <w:textAlignment w:val="auto"/>
        <w:rPr>
          <w:rFonts w:hint="eastAsia" w:ascii="Times New Roman" w:hAnsi="Times New Roman" w:eastAsia="宋体" w:cs="宋体"/>
          <w:b/>
          <w:bCs/>
          <w:color w:val="auto"/>
          <w:sz w:val="28"/>
          <w:szCs w:val="28"/>
        </w:rPr>
      </w:pPr>
    </w:p>
    <w:p>
      <w:pPr>
        <w:keepNext w:val="0"/>
        <w:keepLines w:val="0"/>
        <w:pageBreakBefore w:val="0"/>
        <w:kinsoku/>
        <w:wordWrap/>
        <w:topLinePunct w:val="0"/>
        <w:autoSpaceDE/>
        <w:autoSpaceDN/>
        <w:bidi w:val="0"/>
        <w:spacing w:line="560" w:lineRule="exact"/>
        <w:ind w:left="0" w:leftChars="0" w:firstLine="562" w:firstLineChars="200"/>
        <w:jc w:val="both"/>
        <w:textAlignment w:val="auto"/>
        <w:rPr>
          <w:rFonts w:hint="eastAsia" w:ascii="Times New Roman" w:hAnsi="Times New Roman" w:eastAsia="宋体" w:cs="宋体"/>
          <w:b/>
          <w:bCs/>
          <w:color w:val="auto"/>
          <w:sz w:val="28"/>
          <w:szCs w:val="28"/>
        </w:rPr>
      </w:pPr>
    </w:p>
    <w:p>
      <w:pPr>
        <w:rPr>
          <w:rFonts w:hint="eastAsia" w:ascii="Times New Roman" w:hAnsi="Times New Roman" w:eastAsia="宋体" w:cs="宋体"/>
          <w:b/>
          <w:bCs/>
          <w:color w:val="auto"/>
          <w:sz w:val="28"/>
          <w:szCs w:val="28"/>
        </w:rPr>
      </w:pPr>
      <w:r>
        <w:rPr>
          <w:rFonts w:hint="eastAsia" w:ascii="Times New Roman" w:hAnsi="Times New Roman" w:eastAsia="宋体" w:cs="宋体"/>
          <w:b/>
          <w:bCs/>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人员管理制度</w:t>
      </w:r>
    </w:p>
    <w:p>
      <w:pPr>
        <w:keepNext w:val="0"/>
        <w:keepLines w:val="0"/>
        <w:pageBreakBefore w:val="0"/>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一、科室人员应服从科主任管理，并妥善处理科室与各科工作间的关系。积极参加科内各项工作，按照科内排班保证出勤。</w:t>
      </w:r>
    </w:p>
    <w:p>
      <w:pPr>
        <w:keepNext w:val="0"/>
        <w:keepLines w:val="0"/>
        <w:pageBreakBefore w:val="0"/>
        <w:numPr>
          <w:ilvl w:val="255"/>
          <w:numId w:val="0"/>
        </w:numPr>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二、科室人员保证服务时间，不迟到、早退，工作中规范着装、佩戴胸卡，热情服务，使用文明用语，避免医患纠纷发生。</w:t>
      </w:r>
    </w:p>
    <w:p>
      <w:pPr>
        <w:keepNext w:val="0"/>
        <w:keepLines w:val="0"/>
        <w:pageBreakBefore w:val="0"/>
        <w:numPr>
          <w:ilvl w:val="255"/>
          <w:numId w:val="0"/>
        </w:numPr>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三、工作中严格遵循诊疗规范和诊疗流程，分类、分层开展连续性健康管理和健康教育，积极与糖尿病患者签约、主动提供签约服务、主动发放自我管理手册、主动完善健康档案等。</w:t>
      </w:r>
    </w:p>
    <w:p>
      <w:pPr>
        <w:keepNext w:val="0"/>
        <w:keepLines w:val="0"/>
        <w:pageBreakBefore w:val="0"/>
        <w:numPr>
          <w:ilvl w:val="255"/>
          <w:numId w:val="0"/>
        </w:numPr>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四、认真执行科室的各项绩效考核任务指标，保质保量完成工作数量、工作质量、规范管理率、血糖达标率等任务目标。</w:t>
      </w:r>
    </w:p>
    <w:p>
      <w:pPr>
        <w:keepNext w:val="0"/>
        <w:keepLines w:val="0"/>
        <w:pageBreakBefore w:val="0"/>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五、严格遵守国家有关法律、法规、政策，严格遵循医务人员医德规范，展现良好的医德医风，接受政府有关部门的监督管理。</w:t>
      </w:r>
    </w:p>
    <w:p>
      <w:pPr>
        <w:rPr>
          <w:rFonts w:hint="eastAsia" w:ascii="Times New Roman" w:hAnsi="Times New Roman" w:eastAsia="宋体" w:cs="宋体"/>
          <w:b/>
          <w:bCs/>
          <w:color w:val="auto"/>
          <w:sz w:val="28"/>
          <w:szCs w:val="28"/>
        </w:rPr>
      </w:pPr>
      <w:r>
        <w:rPr>
          <w:rFonts w:hint="eastAsia" w:ascii="Times New Roman" w:hAnsi="Times New Roman" w:eastAsia="宋体" w:cs="宋体"/>
          <w:b/>
          <w:bCs/>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绩效考核制度</w:t>
      </w:r>
    </w:p>
    <w:p>
      <w:pPr>
        <w:keepNext w:val="0"/>
        <w:keepLines w:val="0"/>
        <w:pageBreakBefore w:val="0"/>
        <w:numPr>
          <w:ilvl w:val="255"/>
          <w:numId w:val="0"/>
        </w:numPr>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为了提高中心糖尿病特色科室服务能力建设，</w:t>
      </w:r>
      <w:r>
        <w:rPr>
          <w:rFonts w:hint="eastAsia" w:ascii="Times New Roman" w:hAnsi="Times New Roman" w:eastAsia="宋体" w:cs="宋体"/>
          <w:color w:val="auto"/>
          <w:spacing w:val="-2"/>
          <w:kern w:val="0"/>
          <w:sz w:val="28"/>
          <w:szCs w:val="28"/>
        </w:rPr>
        <w:t>促进分级诊疗制度</w:t>
      </w:r>
      <w:r>
        <w:rPr>
          <w:rFonts w:hint="eastAsia" w:ascii="Times New Roman" w:hAnsi="Times New Roman" w:eastAsia="宋体" w:cs="宋体"/>
          <w:color w:val="auto"/>
          <w:sz w:val="28"/>
          <w:szCs w:val="28"/>
        </w:rPr>
        <w:t>，进一步完善和提升基层医生业务能力和水平，按照工作数量、工作质量、满意度三个维度进行考核，总分100分。</w:t>
      </w:r>
    </w:p>
    <w:p>
      <w:pPr>
        <w:keepNext w:val="0"/>
        <w:keepLines w:val="0"/>
        <w:pageBreakBefore w:val="0"/>
        <w:numPr>
          <w:ilvl w:val="255"/>
          <w:numId w:val="0"/>
        </w:numPr>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一、考核对象：糖尿病特色科室医护人员</w:t>
      </w:r>
    </w:p>
    <w:p>
      <w:pPr>
        <w:keepNext w:val="0"/>
        <w:keepLines w:val="0"/>
        <w:pageBreakBefore w:val="0"/>
        <w:numPr>
          <w:ilvl w:val="255"/>
          <w:numId w:val="0"/>
        </w:numPr>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二、考核周期：每月考核一次（或至少每季度考核一次）。</w:t>
      </w:r>
    </w:p>
    <w:p>
      <w:pPr>
        <w:keepNext w:val="0"/>
        <w:keepLines w:val="0"/>
        <w:pageBreakBefore w:val="0"/>
        <w:numPr>
          <w:ilvl w:val="255"/>
          <w:numId w:val="0"/>
        </w:numPr>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三、工作数量指标</w:t>
      </w:r>
    </w:p>
    <w:p>
      <w:pPr>
        <w:keepNext w:val="0"/>
        <w:keepLines w:val="0"/>
        <w:pageBreakBefore w:val="0"/>
        <w:numPr>
          <w:ilvl w:val="255"/>
          <w:numId w:val="0"/>
        </w:numPr>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1.糖尿病门诊患者诊疗人次≥300人/月</w:t>
      </w:r>
    </w:p>
    <w:p>
      <w:pPr>
        <w:keepNext w:val="0"/>
        <w:keepLines w:val="0"/>
        <w:pageBreakBefore w:val="0"/>
        <w:kinsoku/>
        <w:wordWrap/>
        <w:overflowPunct w:val="0"/>
        <w:topLinePunct w:val="0"/>
        <w:autoSpaceDE/>
        <w:autoSpaceDN/>
        <w:bidi w:val="0"/>
        <w:adjustRightInd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2.新增糖尿病患者人数年≥30例</w:t>
      </w:r>
    </w:p>
    <w:p>
      <w:pPr>
        <w:keepNext w:val="0"/>
        <w:keepLines w:val="0"/>
        <w:pageBreakBefore w:val="0"/>
        <w:kinsoku/>
        <w:wordWrap/>
        <w:overflowPunct w:val="0"/>
        <w:topLinePunct w:val="0"/>
        <w:autoSpaceDE/>
        <w:autoSpaceDN/>
        <w:bidi w:val="0"/>
        <w:adjustRightInd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3.新增≥30例起始胰岛素治疗患者</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4.专病科室完成本年度分配的糖尿病患者管理数量。</w:t>
      </w:r>
    </w:p>
    <w:p>
      <w:pPr>
        <w:keepNext w:val="0"/>
        <w:keepLines w:val="0"/>
        <w:pageBreakBefore w:val="0"/>
        <w:tabs>
          <w:tab w:val="left" w:pos="43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四、工作质量指标</w:t>
      </w:r>
    </w:p>
    <w:p>
      <w:pPr>
        <w:keepNext w:val="0"/>
        <w:keepLines w:val="0"/>
        <w:pageBreakBefore w:val="0"/>
        <w:numPr>
          <w:ilvl w:val="255"/>
          <w:numId w:val="0"/>
        </w:numPr>
        <w:tabs>
          <w:tab w:val="left" w:pos="4320"/>
        </w:tabs>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1.患者电子健康档案完整性≥90%</w:t>
      </w:r>
    </w:p>
    <w:p>
      <w:pPr>
        <w:keepNext w:val="0"/>
        <w:keepLines w:val="0"/>
        <w:pageBreakBefore w:val="0"/>
        <w:numPr>
          <w:ilvl w:val="255"/>
          <w:numId w:val="0"/>
        </w:numPr>
        <w:tabs>
          <w:tab w:val="left" w:pos="4320"/>
        </w:tabs>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2.患者电子健康档案真实性≥100%</w:t>
      </w:r>
    </w:p>
    <w:p>
      <w:pPr>
        <w:keepNext w:val="0"/>
        <w:keepLines w:val="0"/>
        <w:pageBreakBefore w:val="0"/>
        <w:numPr>
          <w:ilvl w:val="255"/>
          <w:numId w:val="0"/>
        </w:numPr>
        <w:tabs>
          <w:tab w:val="left" w:pos="4320"/>
        </w:tabs>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3.病历书写的规范性≥80%</w:t>
      </w:r>
    </w:p>
    <w:p>
      <w:pPr>
        <w:keepNext w:val="0"/>
        <w:keepLines w:val="0"/>
        <w:pageBreakBefore w:val="0"/>
        <w:numPr>
          <w:ilvl w:val="255"/>
          <w:numId w:val="0"/>
        </w:numPr>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4.糖尿病患者规范管理率≥73%</w:t>
      </w:r>
    </w:p>
    <w:p>
      <w:pPr>
        <w:keepNext w:val="0"/>
        <w:keepLines w:val="0"/>
        <w:pageBreakBefore w:val="0"/>
        <w:tabs>
          <w:tab w:val="left" w:pos="43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5.糖尿病患者血糖控制达标率≥50%</w:t>
      </w:r>
    </w:p>
    <w:p>
      <w:pPr>
        <w:keepNext w:val="0"/>
        <w:keepLines w:val="0"/>
        <w:pageBreakBefore w:val="0"/>
        <w:tabs>
          <w:tab w:val="left" w:pos="43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6.糖尿病患者自我管理手册使用率达到100%</w:t>
      </w:r>
    </w:p>
    <w:p>
      <w:pPr>
        <w:keepNext w:val="0"/>
        <w:keepLines w:val="0"/>
        <w:pageBreakBefore w:val="0"/>
        <w:tabs>
          <w:tab w:val="left" w:pos="43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7.糖尿病患者家庭医生服务签约率≥90%</w:t>
      </w:r>
    </w:p>
    <w:p>
      <w:pPr>
        <w:keepNext w:val="0"/>
        <w:keepLines w:val="0"/>
        <w:pageBreakBefore w:val="0"/>
        <w:tabs>
          <w:tab w:val="left" w:pos="43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8.糖尿病患者预约就诊率（≥50%）</w:t>
      </w:r>
    </w:p>
    <w:p>
      <w:pPr>
        <w:keepNext w:val="0"/>
        <w:keepLines w:val="0"/>
        <w:pageBreakBefore w:val="0"/>
        <w:numPr>
          <w:ilvl w:val="255"/>
          <w:numId w:val="0"/>
        </w:numPr>
        <w:tabs>
          <w:tab w:val="left" w:pos="4320"/>
        </w:tabs>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五、患者满意度指标</w:t>
      </w:r>
    </w:p>
    <w:p>
      <w:pPr>
        <w:keepNext w:val="0"/>
        <w:keepLines w:val="0"/>
        <w:pageBreakBefore w:val="0"/>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每月（或每季度）委托第三方通过电话进行满意度随访。</w:t>
      </w:r>
    </w:p>
    <w:p>
      <w:pPr>
        <w:keepNext w:val="0"/>
        <w:keepLines w:val="0"/>
        <w:pageBreakBefore w:val="0"/>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针对以上Ｘ项指标，每项Ｘ分，每月（或每季度）随机抽查Ｘ例患者进行电话随访，考核满意度指标。</w:t>
      </w:r>
    </w:p>
    <w:p>
      <w:pPr>
        <w:keepNext w:val="0"/>
        <w:keepLines w:val="0"/>
        <w:pageBreakBefore w:val="0"/>
        <w:tabs>
          <w:tab w:val="left" w:pos="4320"/>
        </w:tabs>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六、</w:t>
      </w:r>
      <w:r>
        <w:rPr>
          <w:rFonts w:hint="eastAsia" w:ascii="Times New Roman" w:hAnsi="Times New Roman" w:eastAsia="宋体" w:cs="宋体"/>
          <w:color w:val="auto"/>
          <w:sz w:val="28"/>
          <w:szCs w:val="28"/>
          <w:lang w:eastAsia="zh-CN"/>
        </w:rPr>
        <w:t>绩效</w:t>
      </w:r>
      <w:r>
        <w:rPr>
          <w:rFonts w:hint="eastAsia" w:ascii="Times New Roman" w:hAnsi="Times New Roman" w:eastAsia="宋体" w:cs="宋体"/>
          <w:color w:val="auto"/>
          <w:sz w:val="28"/>
          <w:szCs w:val="28"/>
        </w:rPr>
        <w:t>考核指标公式</w:t>
      </w:r>
    </w:p>
    <w:p>
      <w:pPr>
        <w:keepNext w:val="0"/>
        <w:keepLines w:val="0"/>
        <w:pageBreakBefore w:val="0"/>
        <w:tabs>
          <w:tab w:val="left" w:pos="43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 糖尿病患者规范管理率≥73%</w:t>
      </w:r>
    </w:p>
    <w:p>
      <w:pPr>
        <w:keepNext w:val="0"/>
        <w:keepLines w:val="0"/>
        <w:pageBreakBefore w:val="0"/>
        <w:tabs>
          <w:tab w:val="left" w:pos="4320"/>
        </w:tabs>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糖尿病患者规范化管理率＝糖尿病规范化管理的人数/就诊糖尿病患者人数×100%</w:t>
      </w:r>
    </w:p>
    <w:p>
      <w:pPr>
        <w:keepNext w:val="0"/>
        <w:keepLines w:val="0"/>
        <w:pageBreakBefore w:val="0"/>
        <w:tabs>
          <w:tab w:val="left" w:pos="43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 糖尿病患者血糖控制达标率≥50%</w:t>
      </w:r>
    </w:p>
    <w:p>
      <w:pPr>
        <w:keepNext w:val="0"/>
        <w:keepLines w:val="0"/>
        <w:pageBreakBefore w:val="0"/>
        <w:tabs>
          <w:tab w:val="left" w:pos="4320"/>
        </w:tabs>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抽查的患者血糖控制率=年内最近一次随访血糖达标人数/年内已管理的糖尿病患者人数×100%</w:t>
      </w:r>
    </w:p>
    <w:p>
      <w:pPr>
        <w:keepNext w:val="0"/>
        <w:keepLines w:val="0"/>
        <w:pageBreakBefore w:val="0"/>
        <w:tabs>
          <w:tab w:val="left" w:pos="43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 糖尿病患者自我管理手册使用率达到100%</w:t>
      </w:r>
    </w:p>
    <w:p>
      <w:pPr>
        <w:keepNext w:val="0"/>
        <w:keepLines w:val="0"/>
        <w:pageBreakBefore w:val="0"/>
        <w:tabs>
          <w:tab w:val="left" w:pos="43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4. 糖尿病患者家庭医生服务签约率≥90%</w:t>
      </w:r>
    </w:p>
    <w:p>
      <w:pPr>
        <w:keepNext w:val="0"/>
        <w:keepLines w:val="0"/>
        <w:pageBreakBefore w:val="0"/>
        <w:tabs>
          <w:tab w:val="left" w:pos="4320"/>
        </w:tabs>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糖尿病患者家庭医生服务签约率=糖尿病签约人数/糖尿病确诊人数×100%</w:t>
      </w:r>
    </w:p>
    <w:p>
      <w:pPr>
        <w:keepNext w:val="0"/>
        <w:keepLines w:val="0"/>
        <w:pageBreakBefore w:val="0"/>
        <w:tabs>
          <w:tab w:val="left" w:pos="43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5. 糖尿病患者预约就诊率（≥50%）</w:t>
      </w:r>
    </w:p>
    <w:p>
      <w:pPr>
        <w:keepNext w:val="0"/>
        <w:keepLines w:val="0"/>
        <w:pageBreakBefore w:val="0"/>
        <w:tabs>
          <w:tab w:val="left" w:pos="4320"/>
        </w:tabs>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糖尿病患者预约就诊率=某时段糖尿病患者预约就诊人次数/同时段糖尿病患者就诊总人次×100%</w:t>
      </w:r>
    </w:p>
    <w:p>
      <w:pPr>
        <w:keepNext w:val="0"/>
        <w:keepLines w:val="0"/>
        <w:pageBreakBefore w:val="0"/>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bCs/>
          <w:color w:val="auto"/>
          <w:sz w:val="28"/>
          <w:szCs w:val="28"/>
        </w:rPr>
        <w:t>七</w:t>
      </w:r>
      <w:r>
        <w:rPr>
          <w:rFonts w:hint="eastAsia" w:ascii="Times New Roman" w:hAnsi="Times New Roman" w:eastAsia="宋体" w:cs="宋体"/>
          <w:color w:val="auto"/>
          <w:sz w:val="28"/>
          <w:szCs w:val="28"/>
        </w:rPr>
        <w:t>、科室的综合评定，人员培训进修、开展患者健康教育活动、接诉即办、医德医风等，均参照机构整体绩效考核方案。月（季）绩效考核情况作为年度考核及评选优秀的依据。</w:t>
      </w:r>
    </w:p>
    <w:p>
      <w:pPr>
        <w:rPr>
          <w:rFonts w:hint="eastAsia" w:ascii="Times New Roman" w:hAnsi="Times New Roman" w:eastAsia="宋体" w:cs="宋体"/>
          <w:b/>
          <w:bCs/>
          <w:color w:val="auto"/>
          <w:sz w:val="28"/>
          <w:szCs w:val="28"/>
        </w:rPr>
      </w:pPr>
      <w:r>
        <w:rPr>
          <w:rFonts w:hint="eastAsia" w:ascii="Times New Roman" w:hAnsi="Times New Roman" w:eastAsia="宋体" w:cs="宋体"/>
          <w:b/>
          <w:bCs/>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医疗质量管理制度</w:t>
      </w:r>
    </w:p>
    <w:p>
      <w:pPr>
        <w:keepNext w:val="0"/>
        <w:keepLines w:val="0"/>
        <w:pageBreakBefore w:val="0"/>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1.科室实行科主任负责制，每个月进行一次质量检查例会，科室人员都应了解存在的问题，提出解决办法，做好问题记录。</w:t>
      </w:r>
    </w:p>
    <w:p>
      <w:pPr>
        <w:keepNext w:val="0"/>
        <w:keepLines w:val="0"/>
        <w:pageBreakBefore w:val="0"/>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2.科室质量考核工作责任到人，医护人员对发现的问题及时上报给科主任。</w:t>
      </w:r>
    </w:p>
    <w:p>
      <w:pPr>
        <w:keepNext w:val="0"/>
        <w:keepLines w:val="0"/>
        <w:pageBreakBefore w:val="0"/>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3.科室由专门医生负责每月对病历、处方、申请单等进行质控检查，检查有记录，发现问题要有处理结果。</w:t>
      </w:r>
    </w:p>
    <w:p>
      <w:pPr>
        <w:keepNext w:val="0"/>
        <w:keepLines w:val="0"/>
        <w:pageBreakBefore w:val="0"/>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4.科室护理人员负责每月院感、血糖控制情况、电子档案、签约情况、健康教育手册使用情况进行检查，检查有记录，发现问题要有处理结果。</w:t>
      </w:r>
    </w:p>
    <w:p>
      <w:pPr>
        <w:keepNext w:val="0"/>
        <w:keepLines w:val="0"/>
        <w:pageBreakBefore w:val="0"/>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5.定期组织科室人员参加疑难病例讨论，由科主任把关，要不断进行学习，保持各类医务人员掌握了解新知识、新技术。</w:t>
      </w:r>
    </w:p>
    <w:p>
      <w:pPr>
        <w:keepNext w:val="0"/>
        <w:keepLines w:val="0"/>
        <w:pageBreakBefore w:val="0"/>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6.每年对科室医生、护理人员进行两次理论考核，要有考核记录。</w:t>
      </w:r>
    </w:p>
    <w:p>
      <w:pPr>
        <w:keepNext w:val="0"/>
        <w:keepLines w:val="0"/>
        <w:pageBreakBefore w:val="0"/>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7.对科室发生的差错要及时向科主任汇报，由科主任向中心领导汇报。</w:t>
      </w:r>
    </w:p>
    <w:p>
      <w:pPr>
        <w:keepNext w:val="0"/>
        <w:keepLines w:val="0"/>
        <w:pageBreakBefore w:val="0"/>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8.对于发现的医疗质量问题，依据情节轻重，按中心规定进行奖惩，与个人绩效挂钩。</w:t>
      </w:r>
    </w:p>
    <w:p>
      <w:pPr>
        <w:keepNext w:val="0"/>
        <w:keepLines w:val="0"/>
        <w:pageBreakBefore w:val="0"/>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9.积极开展糖尿病的社区医疗、护理服务，开展慢性病的防治管理工作。</w:t>
      </w:r>
    </w:p>
    <w:p>
      <w:pPr>
        <w:keepNext w:val="0"/>
        <w:keepLines w:val="0"/>
        <w:pageBreakBefore w:val="0"/>
        <w:kinsoku/>
        <w:wordWrap/>
        <w:topLinePunct w:val="0"/>
        <w:autoSpaceDE/>
        <w:autoSpaceDN/>
        <w:bidi w:val="0"/>
        <w:spacing w:line="560" w:lineRule="exact"/>
        <w:ind w:left="0" w:leftChars="0" w:firstLine="562" w:firstLineChars="200"/>
        <w:jc w:val="both"/>
        <w:textAlignment w:val="auto"/>
        <w:outlineLvl w:val="0"/>
        <w:rPr>
          <w:rFonts w:hint="eastAsia" w:ascii="Times New Roman" w:hAnsi="Times New Roman" w:eastAsia="宋体" w:cs="宋体"/>
          <w:b/>
          <w:bCs/>
          <w:color w:val="auto"/>
          <w:sz w:val="28"/>
          <w:szCs w:val="28"/>
        </w:rPr>
      </w:pPr>
    </w:p>
    <w:p>
      <w:pPr>
        <w:rPr>
          <w:rFonts w:hint="eastAsia" w:ascii="Times New Roman" w:hAnsi="Times New Roman" w:eastAsia="宋体" w:cs="宋体"/>
          <w:b/>
          <w:bCs/>
          <w:color w:val="auto"/>
          <w:sz w:val="28"/>
          <w:szCs w:val="28"/>
        </w:rPr>
      </w:pPr>
      <w:r>
        <w:rPr>
          <w:rFonts w:hint="eastAsia" w:ascii="Times New Roman" w:hAnsi="Times New Roman" w:eastAsia="宋体" w:cs="宋体"/>
          <w:b/>
          <w:bCs/>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设备设施管理制度</w:t>
      </w:r>
    </w:p>
    <w:p>
      <w:pPr>
        <w:keepNext w:val="0"/>
        <w:keepLines w:val="0"/>
        <w:pageBreakBefore w:val="0"/>
        <w:widowControl/>
        <w:kinsoku/>
        <w:wordWrap/>
        <w:topLinePunct w:val="0"/>
        <w:autoSpaceDE/>
        <w:autoSpaceDN/>
        <w:bidi w:val="0"/>
        <w:adjustRightInd w:val="0"/>
        <w:snapToGrid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一、糖尿病门诊仪器设备由科内指定专人负责管理，人员变动时做好交接手续。</w:t>
      </w:r>
    </w:p>
    <w:p>
      <w:pPr>
        <w:pStyle w:val="21"/>
        <w:keepNext w:val="0"/>
        <w:keepLines w:val="0"/>
        <w:pageBreakBefore w:val="0"/>
        <w:numPr>
          <w:ilvl w:val="255"/>
          <w:numId w:val="0"/>
        </w:numPr>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二、各种医疗设备、办公设备均属固定财产，建立设备档案资料，每年进行一次固定资产清查核对，做到帐、卡、物相符。</w:t>
      </w:r>
    </w:p>
    <w:p>
      <w:pPr>
        <w:pStyle w:val="21"/>
        <w:keepNext w:val="0"/>
        <w:keepLines w:val="0"/>
        <w:pageBreakBefore w:val="0"/>
        <w:numPr>
          <w:ilvl w:val="255"/>
          <w:numId w:val="0"/>
        </w:numPr>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三、仪器设备定期检查、保养、维护，使用时应严格执行操作规程，注意安全。实习及进修人员不得单独操作使用。</w:t>
      </w:r>
    </w:p>
    <w:p>
      <w:pPr>
        <w:pStyle w:val="21"/>
        <w:keepNext w:val="0"/>
        <w:keepLines w:val="0"/>
        <w:pageBreakBefore w:val="0"/>
        <w:numPr>
          <w:ilvl w:val="255"/>
          <w:numId w:val="0"/>
        </w:numPr>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四、仪器设备出现故障应及时报告设备科，进行维修检测，切忌有故障隐患时仍使用。</w:t>
      </w:r>
    </w:p>
    <w:p>
      <w:pPr>
        <w:pStyle w:val="21"/>
        <w:keepNext w:val="0"/>
        <w:keepLines w:val="0"/>
        <w:pageBreakBefore w:val="0"/>
        <w:numPr>
          <w:ilvl w:val="255"/>
          <w:numId w:val="0"/>
        </w:numPr>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五、仪器设备损坏，如需要报损、新购置、更换，执行机构的申报制度。新添置的仪器设备开箱验收须机构设备科、科室负责人及厂家共同验收，保证完好正常运行。</w:t>
      </w:r>
    </w:p>
    <w:p>
      <w:pPr>
        <w:keepNext w:val="0"/>
        <w:keepLines w:val="0"/>
        <w:pageBreakBefore w:val="0"/>
        <w:widowControl/>
        <w:kinsoku/>
        <w:wordWrap/>
        <w:topLinePunct w:val="0"/>
        <w:autoSpaceDE/>
        <w:autoSpaceDN/>
        <w:bidi w:val="0"/>
        <w:adjustRightInd w:val="0"/>
        <w:snapToGrid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六、未经机构领导（或科主任）同意，不得擅自将相关设备外借出机构。</w:t>
      </w:r>
    </w:p>
    <w:p>
      <w:pPr>
        <w:ind w:firstLine="560" w:firstLineChars="200"/>
        <w:rPr>
          <w:rFonts w:hint="eastAsia" w:ascii="Times New Roman" w:hAnsi="Times New Roman" w:eastAsia="宋体" w:cs="宋体"/>
          <w:b/>
          <w:bCs/>
          <w:color w:val="auto"/>
          <w:sz w:val="28"/>
          <w:szCs w:val="28"/>
        </w:rPr>
      </w:pPr>
      <w:bookmarkStart w:id="0" w:name="_GoBack"/>
      <w:bookmarkEnd w:id="0"/>
      <w:r>
        <w:rPr>
          <w:rFonts w:hint="eastAsia" w:ascii="Times New Roman" w:hAnsi="Times New Roman" w:eastAsia="宋体" w:cs="宋体"/>
          <w:color w:val="auto"/>
          <w:sz w:val="28"/>
          <w:szCs w:val="28"/>
        </w:rPr>
        <w:t>七、不得私自接收厂家送给临床试用的新产品</w:t>
      </w:r>
      <w:r>
        <w:rPr>
          <w:rFonts w:hint="eastAsia" w:ascii="Times New Roman" w:hAnsi="Times New Roman" w:eastAsia="宋体" w:cs="宋体"/>
          <w:color w:val="auto"/>
          <w:sz w:val="28"/>
          <w:szCs w:val="28"/>
          <w:lang w:eastAsia="zh-CN"/>
        </w:rPr>
        <w:t>。</w:t>
      </w:r>
      <w:r>
        <w:rPr>
          <w:rFonts w:hint="eastAsia" w:ascii="Times New Roman" w:hAnsi="Times New Roman" w:eastAsia="宋体" w:cs="宋体"/>
          <w:b/>
          <w:bCs/>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双向转诊制度</w:t>
      </w:r>
    </w:p>
    <w:p>
      <w:pPr>
        <w:keepNext w:val="0"/>
        <w:keepLines w:val="0"/>
        <w:pageBreakBefore w:val="0"/>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bCs/>
          <w:color w:val="auto"/>
          <w:sz w:val="28"/>
          <w:szCs w:val="28"/>
        </w:rPr>
      </w:pPr>
      <w:r>
        <w:rPr>
          <w:rFonts w:hint="eastAsia" w:ascii="Times New Roman" w:hAnsi="Times New Roman" w:eastAsia="宋体" w:cs="宋体"/>
          <w:color w:val="auto"/>
          <w:sz w:val="28"/>
          <w:szCs w:val="28"/>
        </w:rPr>
        <w:t>一、中心统一协调和规范管理转诊工作，与</w:t>
      </w:r>
      <w:r>
        <w:rPr>
          <w:rFonts w:hint="eastAsia" w:ascii="Times New Roman" w:hAnsi="Times New Roman" w:eastAsia="宋体" w:cs="宋体"/>
          <w:bCs/>
          <w:color w:val="auto"/>
          <w:sz w:val="28"/>
          <w:szCs w:val="28"/>
        </w:rPr>
        <w:t>上转医院建立转诊绿色通道</w:t>
      </w:r>
      <w:r>
        <w:rPr>
          <w:rFonts w:hint="eastAsia" w:ascii="Times New Roman" w:hAnsi="Times New Roman" w:eastAsia="宋体" w:cs="宋体"/>
          <w:color w:val="auto"/>
          <w:sz w:val="28"/>
          <w:szCs w:val="28"/>
        </w:rPr>
        <w:t>。</w:t>
      </w:r>
    </w:p>
    <w:p>
      <w:pPr>
        <w:keepNext w:val="0"/>
        <w:keepLines w:val="0"/>
        <w:pageBreakBefore w:val="0"/>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二、转诊</w:t>
      </w:r>
      <w:r>
        <w:rPr>
          <w:rFonts w:hint="eastAsia" w:ascii="Times New Roman" w:hAnsi="Times New Roman" w:eastAsia="宋体" w:cs="宋体"/>
          <w:bCs/>
          <w:color w:val="auto"/>
          <w:sz w:val="28"/>
          <w:szCs w:val="28"/>
        </w:rPr>
        <w:t>医生要熟悉</w:t>
      </w:r>
      <w:r>
        <w:rPr>
          <w:rFonts w:hint="eastAsia" w:ascii="Times New Roman" w:hAnsi="Times New Roman" w:eastAsia="宋体" w:cs="宋体"/>
          <w:color w:val="auto"/>
          <w:sz w:val="28"/>
          <w:szCs w:val="28"/>
        </w:rPr>
        <w:t>掌握转诊原则、转诊条件、转诊流程，及时将符合条件的患者转往上转医院。</w:t>
      </w:r>
    </w:p>
    <w:p>
      <w:pPr>
        <w:keepNext w:val="0"/>
        <w:keepLines w:val="0"/>
        <w:pageBreakBefore w:val="0"/>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bCs/>
          <w:color w:val="auto"/>
          <w:sz w:val="28"/>
          <w:szCs w:val="28"/>
        </w:rPr>
        <w:t>三、糖尿病患者符合转诊条件的，</w:t>
      </w:r>
      <w:r>
        <w:rPr>
          <w:rFonts w:hint="eastAsia" w:ascii="Times New Roman" w:hAnsi="Times New Roman" w:eastAsia="宋体" w:cs="宋体"/>
          <w:color w:val="auto"/>
          <w:sz w:val="28"/>
          <w:szCs w:val="28"/>
        </w:rPr>
        <w:t>医生应在病历中进行详细记录，</w:t>
      </w:r>
      <w:r>
        <w:rPr>
          <w:rFonts w:hint="eastAsia" w:ascii="Times New Roman" w:hAnsi="Times New Roman" w:eastAsia="宋体" w:cs="宋体"/>
          <w:bCs/>
          <w:color w:val="auto"/>
          <w:sz w:val="28"/>
          <w:szCs w:val="28"/>
        </w:rPr>
        <w:t>在系统中写明转诊原因并转诊。</w:t>
      </w:r>
    </w:p>
    <w:p>
      <w:pPr>
        <w:keepNext w:val="0"/>
        <w:keepLines w:val="0"/>
        <w:pageBreakBefore w:val="0"/>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四、患者转回复诊时，社区医生应根据病情在病历中记录。</w:t>
      </w:r>
    </w:p>
    <w:p>
      <w:pPr>
        <w:keepNext w:val="0"/>
        <w:keepLines w:val="0"/>
        <w:pageBreakBefore w:val="0"/>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bCs/>
          <w:color w:val="auto"/>
          <w:sz w:val="28"/>
          <w:szCs w:val="28"/>
        </w:rPr>
      </w:pPr>
      <w:r>
        <w:rPr>
          <w:rFonts w:hint="eastAsia" w:ascii="Times New Roman" w:hAnsi="Times New Roman" w:eastAsia="宋体" w:cs="宋体"/>
          <w:bCs/>
          <w:color w:val="auto"/>
          <w:sz w:val="28"/>
          <w:szCs w:val="28"/>
        </w:rPr>
        <w:t>五、团队护士要主动及时追访上转病人的情况，做好转诊病人的跟踪服务，对转回社区的病人要及时提供主动的连续性健康管理和医疗服务。</w:t>
      </w:r>
    </w:p>
    <w:p>
      <w:pPr>
        <w:keepNext w:val="0"/>
        <w:keepLines w:val="0"/>
        <w:pageBreakBefore w:val="0"/>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bCs/>
          <w:color w:val="auto"/>
          <w:sz w:val="28"/>
          <w:szCs w:val="28"/>
        </w:rPr>
      </w:pPr>
      <w:r>
        <w:rPr>
          <w:rFonts w:hint="eastAsia" w:ascii="Times New Roman" w:hAnsi="Times New Roman" w:eastAsia="宋体" w:cs="宋体"/>
          <w:color w:val="auto"/>
          <w:sz w:val="28"/>
          <w:szCs w:val="28"/>
        </w:rPr>
        <w:t>六、</w:t>
      </w:r>
      <w:r>
        <w:rPr>
          <w:rFonts w:hint="eastAsia" w:ascii="Times New Roman" w:hAnsi="Times New Roman" w:eastAsia="宋体" w:cs="宋体"/>
          <w:bCs/>
          <w:color w:val="auto"/>
          <w:sz w:val="28"/>
          <w:szCs w:val="28"/>
        </w:rPr>
        <w:t>如转出病人未回社区就诊，科室护士负责在一个月后追访，记录追访情况，实施连续性管理。</w:t>
      </w:r>
    </w:p>
    <w:p>
      <w:pPr>
        <w:keepNext w:val="0"/>
        <w:keepLines w:val="0"/>
        <w:pageBreakBefore w:val="0"/>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bCs/>
          <w:color w:val="auto"/>
          <w:sz w:val="28"/>
          <w:szCs w:val="28"/>
        </w:rPr>
      </w:pPr>
      <w:r>
        <w:rPr>
          <w:rFonts w:hint="eastAsia" w:ascii="Times New Roman" w:hAnsi="Times New Roman" w:eastAsia="宋体" w:cs="宋体"/>
          <w:bCs/>
          <w:color w:val="auto"/>
          <w:sz w:val="28"/>
          <w:szCs w:val="28"/>
        </w:rPr>
        <w:t>七、对急危重症患者，按北京市统一要求通过北京急救中心转送。</w:t>
      </w:r>
    </w:p>
    <w:p>
      <w:pPr>
        <w:keepNext w:val="0"/>
        <w:keepLines w:val="0"/>
        <w:pageBreakBefore w:val="0"/>
        <w:kinsoku/>
        <w:wordWrap/>
        <w:topLinePunct w:val="0"/>
        <w:autoSpaceDE/>
        <w:autoSpaceDN/>
        <w:bidi w:val="0"/>
        <w:spacing w:line="560" w:lineRule="exact"/>
        <w:ind w:left="0" w:leftChars="0" w:firstLine="562" w:firstLineChars="200"/>
        <w:jc w:val="both"/>
        <w:textAlignment w:val="auto"/>
        <w:outlineLvl w:val="1"/>
        <w:rPr>
          <w:rFonts w:hint="eastAsia" w:ascii="Times New Roman" w:hAnsi="Times New Roman" w:eastAsia="宋体" w:cs="宋体"/>
          <w:b/>
          <w:color w:val="auto"/>
          <w:sz w:val="28"/>
          <w:szCs w:val="28"/>
        </w:rPr>
      </w:pPr>
      <w:r>
        <w:rPr>
          <w:rFonts w:hint="eastAsia" w:ascii="Times New Roman" w:hAnsi="Times New Roman" w:eastAsia="宋体" w:cs="宋体"/>
          <w:b/>
          <w:color w:val="auto"/>
          <w:sz w:val="28"/>
          <w:szCs w:val="28"/>
        </w:rPr>
        <w:t>附：双向转诊条件</w:t>
      </w:r>
    </w:p>
    <w:p>
      <w:pPr>
        <w:keepNext w:val="0"/>
        <w:keepLines w:val="0"/>
        <w:pageBreakBefore w:val="0"/>
        <w:kinsoku/>
        <w:wordWrap/>
        <w:topLinePunct w:val="0"/>
        <w:autoSpaceDE/>
        <w:autoSpaceDN/>
        <w:bidi w:val="0"/>
        <w:spacing w:line="560" w:lineRule="exact"/>
        <w:ind w:left="0" w:leftChars="0" w:firstLine="562" w:firstLineChars="200"/>
        <w:jc w:val="both"/>
        <w:textAlignment w:val="auto"/>
        <w:outlineLvl w:val="1"/>
        <w:rPr>
          <w:rFonts w:hint="eastAsia" w:ascii="Times New Roman" w:hAnsi="Times New Roman" w:eastAsia="宋体" w:cs="宋体"/>
          <w:b/>
          <w:bCs/>
          <w:color w:val="auto"/>
          <w:sz w:val="28"/>
          <w:szCs w:val="28"/>
        </w:rPr>
      </w:pPr>
      <w:r>
        <w:rPr>
          <w:rFonts w:hint="eastAsia" w:ascii="Times New Roman" w:hAnsi="Times New Roman" w:eastAsia="宋体" w:cs="宋体"/>
          <w:b/>
          <w:bCs/>
          <w:color w:val="auto"/>
          <w:sz w:val="28"/>
          <w:szCs w:val="28"/>
        </w:rPr>
        <w:t>上转条件：</w:t>
      </w:r>
    </w:p>
    <w:p>
      <w:pPr>
        <w:keepNext w:val="0"/>
        <w:keepLines w:val="0"/>
        <w:pageBreakBefore w:val="0"/>
        <w:tabs>
          <w:tab w:val="left" w:pos="7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 诊断困难和特殊患者</w:t>
      </w:r>
    </w:p>
    <w:p>
      <w:pPr>
        <w:keepNext w:val="0"/>
        <w:keepLines w:val="0"/>
        <w:pageBreakBefore w:val="0"/>
        <w:tabs>
          <w:tab w:val="left" w:pos="720"/>
        </w:tabs>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（1）初次发现血糖异常，临床分型不明确者。</w:t>
      </w:r>
    </w:p>
    <w:p>
      <w:pPr>
        <w:keepNext w:val="0"/>
        <w:keepLines w:val="0"/>
        <w:pageBreakBefore w:val="0"/>
        <w:tabs>
          <w:tab w:val="left" w:pos="720"/>
        </w:tabs>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（2）儿童和青少年（年龄&lt;18岁）2型糖尿病患者。</w:t>
      </w:r>
    </w:p>
    <w:p>
      <w:pPr>
        <w:keepNext w:val="0"/>
        <w:keepLines w:val="0"/>
        <w:pageBreakBefore w:val="0"/>
        <w:tabs>
          <w:tab w:val="left" w:pos="720"/>
        </w:tabs>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（3）妊娠和哺乳期妇女血糖异常者。</w:t>
      </w:r>
    </w:p>
    <w:p>
      <w:pPr>
        <w:keepNext w:val="0"/>
        <w:keepLines w:val="0"/>
        <w:pageBreakBefore w:val="0"/>
        <w:tabs>
          <w:tab w:val="left" w:pos="7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 治疗困难</w:t>
      </w:r>
    </w:p>
    <w:p>
      <w:pPr>
        <w:keepNext w:val="0"/>
        <w:keepLines w:val="0"/>
        <w:pageBreakBefore w:val="0"/>
        <w:tabs>
          <w:tab w:val="left" w:pos="7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（1）原因不明或经处理后仍反复发生低血糖者。</w:t>
      </w:r>
    </w:p>
    <w:p>
      <w:pPr>
        <w:keepNext w:val="0"/>
        <w:keepLines w:val="0"/>
        <w:pageBreakBefore w:val="0"/>
        <w:tabs>
          <w:tab w:val="left" w:pos="7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（2）血糖、血压、血脂长期治疗不达标者。</w:t>
      </w:r>
    </w:p>
    <w:p>
      <w:pPr>
        <w:keepNext w:val="0"/>
        <w:keepLines w:val="0"/>
        <w:pageBreakBefore w:val="0"/>
        <w:tabs>
          <w:tab w:val="left" w:pos="7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（3）血糖波动较大，基层处理困难，无法平稳控制者。</w:t>
      </w:r>
    </w:p>
    <w:p>
      <w:pPr>
        <w:keepNext w:val="0"/>
        <w:keepLines w:val="0"/>
        <w:pageBreakBefore w:val="0"/>
        <w:tabs>
          <w:tab w:val="left" w:pos="720"/>
        </w:tabs>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（4）出现严重药物不良反应难以处理者。</w:t>
      </w:r>
    </w:p>
    <w:p>
      <w:pPr>
        <w:keepNext w:val="0"/>
        <w:keepLines w:val="0"/>
        <w:pageBreakBefore w:val="0"/>
        <w:tabs>
          <w:tab w:val="left" w:pos="7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3.合并严重并发症</w:t>
      </w:r>
    </w:p>
    <w:p>
      <w:pPr>
        <w:keepNext w:val="0"/>
        <w:keepLines w:val="0"/>
        <w:pageBreakBefore w:val="0"/>
        <w:tabs>
          <w:tab w:val="left" w:pos="7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（1）糖尿病急性并发症：严重低血糖或高血糖伴或不</w:t>
      </w:r>
    </w:p>
    <w:p>
      <w:pPr>
        <w:keepNext w:val="0"/>
        <w:keepLines w:val="0"/>
        <w:pageBreakBefore w:val="0"/>
        <w:tabs>
          <w:tab w:val="left" w:pos="7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伴有意识障碍（DKA、HHS或乳酸性酸中毒）。</w:t>
      </w:r>
    </w:p>
    <w:p>
      <w:pPr>
        <w:keepNext w:val="0"/>
        <w:keepLines w:val="0"/>
        <w:pageBreakBefore w:val="0"/>
        <w:tabs>
          <w:tab w:val="left" w:pos="7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（2）糖尿病慢性并发症（视网膜病变、肾病、神经病变、糖尿病足或周围血管病变）的筛查、治疗方案的制定和疗效评估在社区处理有困难者。</w:t>
      </w:r>
    </w:p>
    <w:p>
      <w:pPr>
        <w:keepNext w:val="0"/>
        <w:keepLines w:val="0"/>
        <w:pageBreakBefore w:val="0"/>
        <w:tabs>
          <w:tab w:val="left" w:pos="7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（3）糖尿病慢性并发症导致严重靶器官损害需要紧急救治者：急性心脑血管病；糖尿病肾病导致的肾功能不全（eGFR &lt;60ml/min/1.73m2）或大量蛋白尿；糖尿病视网膜病变导致的严重视力下降；糖尿病外周血管病变导致的间歇性跛行和缺血性疼痛等。</w:t>
      </w:r>
    </w:p>
    <w:p>
      <w:pPr>
        <w:keepNext w:val="0"/>
        <w:keepLines w:val="0"/>
        <w:pageBreakBefore w:val="0"/>
        <w:tabs>
          <w:tab w:val="left" w:pos="7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（4）糖尿病足出现皮肤颜色的急剧变化；局部疼痛加剧并有红肿等炎症表现；新发生的溃疡；原有的浅表溃疡恶化并累及软组织和骨组织；播散性的蜂窝组织炎、全身感染征象；骨髓炎等。</w:t>
      </w:r>
    </w:p>
    <w:p>
      <w:pPr>
        <w:keepNext w:val="0"/>
        <w:keepLines w:val="0"/>
        <w:pageBreakBefore w:val="0"/>
        <w:tabs>
          <w:tab w:val="left" w:pos="7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4. 其它经医生判断需上级医院处理的情况或疾病。</w:t>
      </w:r>
    </w:p>
    <w:p>
      <w:pPr>
        <w:keepNext w:val="0"/>
        <w:keepLines w:val="0"/>
        <w:pageBreakBefore w:val="0"/>
        <w:tabs>
          <w:tab w:val="left" w:pos="720"/>
        </w:tabs>
        <w:kinsoku/>
        <w:wordWrap/>
        <w:topLinePunct w:val="0"/>
        <w:autoSpaceDE/>
        <w:autoSpaceDN/>
        <w:bidi w:val="0"/>
        <w:spacing w:line="560" w:lineRule="exact"/>
        <w:ind w:left="0" w:leftChars="0" w:firstLine="562" w:firstLineChars="200"/>
        <w:jc w:val="both"/>
        <w:textAlignment w:val="auto"/>
        <w:outlineLvl w:val="1"/>
        <w:rPr>
          <w:rFonts w:hint="eastAsia" w:ascii="Times New Roman" w:hAnsi="Times New Roman" w:eastAsia="宋体" w:cs="宋体"/>
          <w:b/>
          <w:color w:val="auto"/>
          <w:sz w:val="28"/>
          <w:szCs w:val="28"/>
        </w:rPr>
      </w:pPr>
      <w:r>
        <w:rPr>
          <w:rFonts w:hint="eastAsia" w:ascii="Times New Roman" w:hAnsi="Times New Roman" w:eastAsia="宋体" w:cs="宋体"/>
          <w:b/>
          <w:color w:val="auto"/>
          <w:sz w:val="28"/>
          <w:szCs w:val="28"/>
        </w:rPr>
        <w:t>下转条件：</w:t>
      </w:r>
    </w:p>
    <w:p>
      <w:pPr>
        <w:keepNext w:val="0"/>
        <w:keepLines w:val="0"/>
        <w:pageBreakBefore w:val="0"/>
        <w:tabs>
          <w:tab w:val="left" w:pos="7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b/>
          <w:color w:val="auto"/>
          <w:sz w:val="28"/>
          <w:szCs w:val="28"/>
        </w:rPr>
      </w:pPr>
      <w:r>
        <w:rPr>
          <w:rFonts w:hint="eastAsia" w:ascii="Times New Roman" w:hAnsi="Times New Roman" w:eastAsia="宋体" w:cs="宋体"/>
          <w:color w:val="auto"/>
          <w:sz w:val="28"/>
          <w:szCs w:val="28"/>
        </w:rPr>
        <w:t>1.诊断明确和治疗方案明确且血糖控制比较稳定；</w:t>
      </w:r>
    </w:p>
    <w:p>
      <w:pPr>
        <w:keepNext w:val="0"/>
        <w:keepLines w:val="0"/>
        <w:pageBreakBefore w:val="0"/>
        <w:tabs>
          <w:tab w:val="left" w:pos="720"/>
        </w:tabs>
        <w:kinsoku/>
        <w:wordWrap/>
        <w:topLinePunct w:val="0"/>
        <w:autoSpaceDE/>
        <w:autoSpaceDN/>
        <w:bidi w:val="0"/>
        <w:spacing w:line="560" w:lineRule="exact"/>
        <w:ind w:left="0" w:leftChars="0" w:firstLine="560" w:firstLineChars="200"/>
        <w:jc w:val="both"/>
        <w:textAlignment w:val="auto"/>
        <w:outlineLvl w:val="1"/>
        <w:rPr>
          <w:rFonts w:hint="eastAsia" w:ascii="Times New Roman" w:hAnsi="Times New Roman" w:eastAsia="宋体" w:cs="宋体"/>
          <w:b/>
          <w:color w:val="auto"/>
          <w:sz w:val="28"/>
          <w:szCs w:val="28"/>
        </w:rPr>
      </w:pPr>
      <w:r>
        <w:rPr>
          <w:rFonts w:hint="eastAsia" w:ascii="Times New Roman" w:hAnsi="Times New Roman" w:eastAsia="宋体" w:cs="宋体"/>
          <w:color w:val="auto"/>
          <w:sz w:val="28"/>
          <w:szCs w:val="28"/>
        </w:rPr>
        <w:t>2.急性并发症治疗后病情稳定；</w:t>
      </w:r>
    </w:p>
    <w:p>
      <w:pPr>
        <w:keepNext w:val="0"/>
        <w:keepLines w:val="0"/>
        <w:pageBreakBefore w:val="0"/>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3.慢性并发症已确诊、制定了治疗方案和疗效评估，且病情已得到稳定控制。</w:t>
      </w:r>
    </w:p>
    <w:p>
      <w:pPr>
        <w:rPr>
          <w:rFonts w:hint="eastAsia" w:ascii="Times New Roman" w:hAnsi="Times New Roman" w:eastAsia="宋体" w:cs="宋体"/>
          <w:b/>
          <w:bCs/>
          <w:color w:val="auto"/>
          <w:sz w:val="28"/>
          <w:szCs w:val="28"/>
        </w:rPr>
      </w:pPr>
      <w:r>
        <w:rPr>
          <w:rFonts w:hint="eastAsia" w:ascii="Times New Roman" w:hAnsi="Times New Roman" w:eastAsia="宋体" w:cs="宋体"/>
          <w:b/>
          <w:bCs/>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患者健康教育制度</w:t>
      </w:r>
    </w:p>
    <w:p>
      <w:pPr>
        <w:keepNext w:val="0"/>
        <w:keepLines w:val="0"/>
        <w:pageBreakBefore w:val="0"/>
        <w:numPr>
          <w:ilvl w:val="255"/>
          <w:numId w:val="0"/>
        </w:numPr>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一、建立社区糖尿病患者健康教育网络，定期召开讲座，依据糖尿病患者主要健康问题，制定年度健康教育工作计划。</w:t>
      </w:r>
    </w:p>
    <w:p>
      <w:pPr>
        <w:keepNext w:val="0"/>
        <w:keepLines w:val="0"/>
        <w:pageBreakBefore w:val="0"/>
        <w:numPr>
          <w:ilvl w:val="255"/>
          <w:numId w:val="0"/>
        </w:numPr>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二、根据健康教育计划，积极开展多种形式的健康教育。</w:t>
      </w:r>
    </w:p>
    <w:p>
      <w:pPr>
        <w:keepNext w:val="0"/>
        <w:keepLines w:val="0"/>
        <w:pageBreakBefore w:val="0"/>
        <w:numPr>
          <w:ilvl w:val="255"/>
          <w:numId w:val="0"/>
        </w:numPr>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三、针对糖尿病患者进行合理膳食、运动、药物服用等干预活动；向糖尿病患者发放健康教育处方，提高患者健康知识知晓率和健康行为形成率。</w:t>
      </w:r>
    </w:p>
    <w:p>
      <w:pPr>
        <w:keepNext w:val="0"/>
        <w:keepLines w:val="0"/>
        <w:pageBreakBefore w:val="0"/>
        <w:numPr>
          <w:ilvl w:val="255"/>
          <w:numId w:val="0"/>
        </w:numPr>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四、利用社区资源，每季度针对糖尿病患者进行健康教育知识讲座。</w:t>
      </w:r>
    </w:p>
    <w:p>
      <w:pPr>
        <w:keepNext w:val="0"/>
        <w:keepLines w:val="0"/>
        <w:pageBreakBefore w:val="0"/>
        <w:numPr>
          <w:ilvl w:val="255"/>
          <w:numId w:val="0"/>
        </w:numPr>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五、利用智能平台，定期为管理的患者推送健康教育知识。</w:t>
      </w:r>
    </w:p>
    <w:p>
      <w:pPr>
        <w:keepNext w:val="0"/>
        <w:keepLines w:val="0"/>
        <w:pageBreakBefore w:val="0"/>
        <w:numPr>
          <w:ilvl w:val="255"/>
          <w:numId w:val="0"/>
        </w:numPr>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六、免费为辖区内糖尿病患者建立健康档案，进行分类管理。</w:t>
      </w:r>
    </w:p>
    <w:p>
      <w:pPr>
        <w:keepNext w:val="0"/>
        <w:keepLines w:val="0"/>
        <w:pageBreakBefore w:val="0"/>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七、积极探索远程授课等健康教育形式，提高受众人群覆盖面，提高健康教育效果。</w:t>
      </w:r>
    </w:p>
    <w:p>
      <w:pPr>
        <w:keepNext w:val="0"/>
        <w:keepLines w:val="0"/>
        <w:pageBreakBefore w:val="0"/>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八、定期进行健康教育效果评价，不断改进健康教育的形式，提高科学性和有效性。</w:t>
      </w:r>
    </w:p>
    <w:p>
      <w:pPr>
        <w:keepNext w:val="0"/>
        <w:keepLines w:val="0"/>
        <w:pageBreakBefore w:val="0"/>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九、认真填写并妥善保管各类有关健康教育及管理的各种资料。</w:t>
      </w:r>
    </w:p>
    <w:p>
      <w:pPr>
        <w:keepNext w:val="0"/>
        <w:keepLines w:val="0"/>
        <w:pageBreakBefore w:val="0"/>
        <w:kinsoku/>
        <w:wordWrap/>
        <w:topLinePunct w:val="0"/>
        <w:autoSpaceDE/>
        <w:autoSpaceDN/>
        <w:bidi w:val="0"/>
        <w:spacing w:line="560" w:lineRule="exact"/>
        <w:ind w:left="0" w:leftChars="0" w:firstLine="562" w:firstLineChars="200"/>
        <w:jc w:val="both"/>
        <w:textAlignment w:val="auto"/>
        <w:rPr>
          <w:rFonts w:hint="eastAsia" w:ascii="Times New Roman" w:hAnsi="Times New Roman" w:eastAsia="宋体" w:cs="宋体"/>
          <w:b/>
          <w:bCs/>
          <w:color w:val="auto"/>
          <w:sz w:val="28"/>
          <w:szCs w:val="28"/>
        </w:rPr>
      </w:pPr>
      <w:r>
        <w:rPr>
          <w:rFonts w:hint="eastAsia" w:ascii="Times New Roman" w:hAnsi="Times New Roman" w:eastAsia="宋体" w:cs="宋体"/>
          <w:b/>
          <w:bCs/>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糖尿病医疗风险防控预案</w:t>
      </w:r>
    </w:p>
    <w:p>
      <w:pPr>
        <w:keepNext w:val="0"/>
        <w:keepLines w:val="0"/>
        <w:pageBreakBefore w:val="0"/>
        <w:kinsoku/>
        <w:wordWrap/>
        <w:overflowPunct w:val="0"/>
        <w:topLinePunct w:val="0"/>
        <w:autoSpaceDE/>
        <w:autoSpaceDN/>
        <w:bidi w:val="0"/>
        <w:spacing w:line="560" w:lineRule="exact"/>
        <w:ind w:left="0" w:leftChars="0" w:firstLine="562" w:firstLineChars="200"/>
        <w:jc w:val="both"/>
        <w:textAlignment w:val="auto"/>
        <w:outlineLvl w:val="0"/>
        <w:rPr>
          <w:rFonts w:hint="eastAsia" w:ascii="Times New Roman" w:hAnsi="Times New Roman" w:eastAsia="宋体" w:cs="宋体"/>
          <w:b/>
          <w:bCs/>
          <w:color w:val="auto"/>
          <w:sz w:val="28"/>
          <w:szCs w:val="28"/>
        </w:rPr>
      </w:pPr>
      <w:r>
        <w:rPr>
          <w:rFonts w:hint="eastAsia" w:ascii="Times New Roman" w:hAnsi="Times New Roman" w:eastAsia="宋体" w:cs="宋体"/>
          <w:b/>
          <w:bCs/>
          <w:color w:val="auto"/>
          <w:sz w:val="28"/>
          <w:szCs w:val="28"/>
        </w:rPr>
        <w:t>（一）制定医疗风险防控预案</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树立医疗风险防范意识，掌握糖尿病相关急性并发症的处理原则，严格掌握危重及疑难病人转诊指征；制定完善的医疗风险防控预案，规范患者转诊流程，保障患者及时得到有效诊治。</w:t>
      </w:r>
    </w:p>
    <w:p>
      <w:pPr>
        <w:keepNext w:val="0"/>
        <w:keepLines w:val="0"/>
        <w:pageBreakBefore w:val="0"/>
        <w:widowControl/>
        <w:kinsoku/>
        <w:wordWrap/>
        <w:topLinePunct w:val="0"/>
        <w:autoSpaceDE/>
        <w:autoSpaceDN/>
        <w:bidi w:val="0"/>
        <w:spacing w:line="560" w:lineRule="exact"/>
        <w:ind w:left="0" w:leftChars="0" w:firstLine="562" w:firstLineChars="200"/>
        <w:jc w:val="both"/>
        <w:textAlignment w:val="auto"/>
        <w:rPr>
          <w:rFonts w:hint="eastAsia" w:ascii="Times New Roman" w:hAnsi="Times New Roman" w:eastAsia="宋体" w:cs="宋体"/>
          <w:b/>
          <w:color w:val="auto"/>
          <w:kern w:val="0"/>
          <w:sz w:val="28"/>
          <w:szCs w:val="28"/>
        </w:rPr>
      </w:pPr>
      <w:r>
        <w:rPr>
          <w:rFonts w:hint="eastAsia" w:ascii="Times New Roman" w:hAnsi="Times New Roman" w:eastAsia="宋体" w:cs="宋体"/>
          <w:b/>
          <w:color w:val="auto"/>
          <w:kern w:val="0"/>
          <w:sz w:val="28"/>
          <w:szCs w:val="28"/>
        </w:rPr>
        <w:t>（二）门诊、医技科室、药房、收费处及挂号处配合流程</w:t>
      </w:r>
    </w:p>
    <w:p>
      <w:pPr>
        <w:keepNext w:val="0"/>
        <w:keepLines w:val="0"/>
        <w:pageBreakBefore w:val="0"/>
        <w:widowControl/>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1.急危重症糖尿病患者，提前联系医护人员，首诊医务人员将患者护送至抢救室。</w:t>
      </w:r>
    </w:p>
    <w:p>
      <w:pPr>
        <w:keepNext w:val="0"/>
        <w:keepLines w:val="0"/>
        <w:pageBreakBefore w:val="0"/>
        <w:widowControl/>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2.患者需做相关检查的，各医技科室应做到随到随检、先检查后缴费，发现危急值时及时通知急诊首诊医生，做好记录，并快速给出检查报告。</w:t>
      </w:r>
    </w:p>
    <w:p>
      <w:pPr>
        <w:keepNext w:val="0"/>
        <w:keepLines w:val="0"/>
        <w:pageBreakBefore w:val="0"/>
        <w:widowControl/>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3.急危重症情况需要抢救时，药房应做到随用随取，先用药后缴费，并做好记录。</w:t>
      </w:r>
    </w:p>
    <w:p>
      <w:pPr>
        <w:keepNext w:val="0"/>
        <w:keepLines w:val="0"/>
        <w:pageBreakBefore w:val="0"/>
        <w:widowControl/>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4.收费处及挂号处：可先抢救后付费，保障患者获得及时连贯性医疗服务，并做好记录。</w:t>
      </w:r>
    </w:p>
    <w:p>
      <w:pPr>
        <w:keepNext w:val="0"/>
        <w:keepLines w:val="0"/>
        <w:pageBreakBefore w:val="0"/>
        <w:kinsoku/>
        <w:wordWrap/>
        <w:topLinePunct w:val="0"/>
        <w:autoSpaceDE/>
        <w:autoSpaceDN/>
        <w:bidi w:val="0"/>
        <w:spacing w:line="560" w:lineRule="exact"/>
        <w:ind w:left="0" w:leftChars="0" w:firstLine="562" w:firstLineChars="200"/>
        <w:jc w:val="both"/>
        <w:textAlignment w:val="auto"/>
        <w:rPr>
          <w:rFonts w:hint="eastAsia" w:ascii="Times New Roman" w:hAnsi="Times New Roman" w:eastAsia="宋体" w:cs="宋体"/>
          <w:b/>
          <w:bCs/>
          <w:color w:val="auto"/>
          <w:kern w:val="0"/>
          <w:sz w:val="28"/>
          <w:szCs w:val="28"/>
        </w:rPr>
      </w:pPr>
      <w:r>
        <w:rPr>
          <w:rFonts w:hint="eastAsia" w:ascii="Times New Roman" w:hAnsi="Times New Roman" w:eastAsia="宋体" w:cs="宋体"/>
          <w:b/>
          <w:bCs/>
          <w:color w:val="auto"/>
          <w:kern w:val="0"/>
          <w:sz w:val="28"/>
          <w:szCs w:val="28"/>
        </w:rPr>
        <w:t>（三）流程图</w:t>
      </w:r>
    </w:p>
    <w:p>
      <w:pPr>
        <w:keepNext w:val="0"/>
        <w:keepLines w:val="0"/>
        <w:pageBreakBefore w:val="0"/>
        <w:widowControl w:val="0"/>
        <w:kinsoku/>
        <w:wordWrap/>
        <w:overflowPunct w:val="0"/>
        <w:topLinePunct w:val="0"/>
        <w:autoSpaceDE/>
        <w:autoSpaceDN/>
        <w:bidi w:val="0"/>
        <w:adjustRightInd/>
        <w:snapToGrid/>
        <w:spacing w:line="240" w:lineRule="auto"/>
        <w:ind w:left="0" w:leftChars="0" w:firstLine="0" w:firstLineChars="0"/>
        <w:jc w:val="center"/>
        <w:textAlignment w:val="auto"/>
        <w:outlineLvl w:val="0"/>
        <w:rPr>
          <w:rFonts w:hint="eastAsia" w:ascii="Times New Roman" w:hAnsi="Times New Roman" w:eastAsia="宋体" w:cs="宋体"/>
          <w:b/>
          <w:bCs/>
          <w:color w:val="auto"/>
          <w:sz w:val="28"/>
          <w:szCs w:val="28"/>
        </w:rPr>
      </w:pPr>
      <w:r>
        <w:rPr>
          <w:rFonts w:hint="eastAsia" w:ascii="Times New Roman" w:hAnsi="Times New Roman" w:eastAsia="宋体" w:cs="宋体"/>
          <w:color w:val="auto"/>
          <w:sz w:val="28"/>
          <w:szCs w:val="28"/>
        </w:rPr>
        <mc:AlternateContent>
          <mc:Choice Requires="wpg">
            <w:drawing>
              <wp:inline distT="0" distB="0" distL="114300" distR="114300">
                <wp:extent cx="4899660" cy="3026410"/>
                <wp:effectExtent l="4445" t="4445" r="10795" b="17145"/>
                <wp:docPr id="69" name="组合 69"/>
                <wp:cNvGraphicFramePr/>
                <a:graphic xmlns:a="http://schemas.openxmlformats.org/drawingml/2006/main">
                  <a:graphicData uri="http://schemas.microsoft.com/office/word/2010/wordprocessingGroup">
                    <wpg:wgp>
                      <wpg:cNvGrpSpPr/>
                      <wpg:grpSpPr>
                        <a:xfrm>
                          <a:off x="0" y="0"/>
                          <a:ext cx="4899660" cy="3026410"/>
                          <a:chOff x="0" y="0"/>
                          <a:chExt cx="50675" cy="33224"/>
                        </a:xfrm>
                        <a:effectLst/>
                      </wpg:grpSpPr>
                      <wpg:grpSp>
                        <wpg:cNvPr id="70" name="组合 223"/>
                        <wpg:cNvGrpSpPr/>
                        <wpg:grpSpPr>
                          <a:xfrm>
                            <a:off x="0" y="0"/>
                            <a:ext cx="50675" cy="33224"/>
                            <a:chOff x="0" y="0"/>
                            <a:chExt cx="50675" cy="33224"/>
                          </a:xfrm>
                          <a:effectLst/>
                        </wpg:grpSpPr>
                        <wps:wsp>
                          <wps:cNvPr id="71" name="Line 6"/>
                          <wps:cNvCnPr/>
                          <wps:spPr>
                            <a:xfrm>
                              <a:off x="10655" y="1768"/>
                              <a:ext cx="9715" cy="6"/>
                            </a:xfrm>
                            <a:prstGeom prst="line">
                              <a:avLst/>
                            </a:prstGeom>
                            <a:ln w="9525" cap="flat" cmpd="sng">
                              <a:solidFill>
                                <a:srgbClr val="000000"/>
                              </a:solidFill>
                              <a:prstDash val="solid"/>
                              <a:headEnd type="none" w="med" len="med"/>
                              <a:tailEnd type="triangle" w="med" len="med"/>
                            </a:ln>
                            <a:effectLst/>
                          </wps:spPr>
                          <wps:bodyPr upright="1"/>
                        </wps:wsp>
                        <wps:wsp>
                          <wps:cNvPr id="72" name="Line 5"/>
                          <wps:cNvCnPr/>
                          <wps:spPr>
                            <a:xfrm>
                              <a:off x="32041" y="2070"/>
                              <a:ext cx="6477" cy="7"/>
                            </a:xfrm>
                            <a:prstGeom prst="line">
                              <a:avLst/>
                            </a:prstGeom>
                            <a:ln w="9525" cap="flat" cmpd="sng">
                              <a:solidFill>
                                <a:srgbClr val="000000"/>
                              </a:solidFill>
                              <a:prstDash val="solid"/>
                              <a:headEnd type="none" w="med" len="med"/>
                              <a:tailEnd type="triangle" w="med" len="med"/>
                            </a:ln>
                            <a:effectLst/>
                          </wps:spPr>
                          <wps:bodyPr upright="1"/>
                        </wps:wsp>
                        <wps:wsp>
                          <wps:cNvPr id="73" name="Line 7"/>
                          <wps:cNvCnPr/>
                          <wps:spPr>
                            <a:xfrm flipH="1">
                              <a:off x="44314" y="3476"/>
                              <a:ext cx="24" cy="1965"/>
                            </a:xfrm>
                            <a:prstGeom prst="line">
                              <a:avLst/>
                            </a:prstGeom>
                            <a:ln w="9525" cap="flat" cmpd="sng">
                              <a:solidFill>
                                <a:srgbClr val="000000"/>
                              </a:solidFill>
                              <a:prstDash val="solid"/>
                              <a:headEnd type="none" w="med" len="med"/>
                              <a:tailEnd type="triangle" w="med" len="med"/>
                            </a:ln>
                            <a:effectLst/>
                          </wps:spPr>
                          <wps:bodyPr upright="1"/>
                        </wps:wsp>
                        <wps:wsp>
                          <wps:cNvPr id="74" name="Line 9"/>
                          <wps:cNvCnPr/>
                          <wps:spPr>
                            <a:xfrm flipH="1">
                              <a:off x="44314" y="9144"/>
                              <a:ext cx="0" cy="1958"/>
                            </a:xfrm>
                            <a:prstGeom prst="line">
                              <a:avLst/>
                            </a:prstGeom>
                            <a:ln w="9525" cap="flat" cmpd="sng">
                              <a:solidFill>
                                <a:srgbClr val="000000"/>
                              </a:solidFill>
                              <a:prstDash val="solid"/>
                              <a:headEnd type="none" w="med" len="med"/>
                              <a:tailEnd type="triangle" w="med" len="med"/>
                            </a:ln>
                            <a:effectLst/>
                          </wps:spPr>
                          <wps:bodyPr upright="1"/>
                        </wps:wsp>
                        <wps:wsp>
                          <wps:cNvPr id="75" name="Line 11"/>
                          <wps:cNvCnPr/>
                          <wps:spPr>
                            <a:xfrm flipH="1">
                              <a:off x="44390" y="14131"/>
                              <a:ext cx="0" cy="2343"/>
                            </a:xfrm>
                            <a:prstGeom prst="line">
                              <a:avLst/>
                            </a:prstGeom>
                            <a:ln w="9525" cap="flat" cmpd="sng">
                              <a:solidFill>
                                <a:srgbClr val="000000"/>
                              </a:solidFill>
                              <a:prstDash val="solid"/>
                              <a:headEnd type="none" w="med" len="med"/>
                              <a:tailEnd type="triangle" w="med" len="med"/>
                            </a:ln>
                            <a:effectLst/>
                          </wps:spPr>
                          <wps:bodyPr upright="1"/>
                        </wps:wsp>
                        <wps:wsp>
                          <wps:cNvPr id="76" name="Line 11"/>
                          <wps:cNvCnPr/>
                          <wps:spPr>
                            <a:xfrm flipH="1">
                              <a:off x="44616" y="19648"/>
                              <a:ext cx="0" cy="2337"/>
                            </a:xfrm>
                            <a:prstGeom prst="line">
                              <a:avLst/>
                            </a:prstGeom>
                            <a:ln w="9525" cap="flat" cmpd="sng">
                              <a:solidFill>
                                <a:srgbClr val="000000"/>
                              </a:solidFill>
                              <a:prstDash val="solid"/>
                              <a:headEnd type="none" w="med" len="med"/>
                              <a:tailEnd type="triangle" w="med" len="med"/>
                            </a:ln>
                            <a:effectLst/>
                          </wps:spPr>
                          <wps:bodyPr upright="1"/>
                        </wps:wsp>
                        <wps:wsp>
                          <wps:cNvPr id="77" name="Line 6"/>
                          <wps:cNvCnPr/>
                          <wps:spPr>
                            <a:xfrm flipV="1">
                              <a:off x="5320" y="3276"/>
                              <a:ext cx="0" cy="7294"/>
                            </a:xfrm>
                            <a:prstGeom prst="line">
                              <a:avLst/>
                            </a:prstGeom>
                            <a:ln w="9525" cap="flat" cmpd="sng">
                              <a:solidFill>
                                <a:srgbClr val="000000"/>
                              </a:solidFill>
                              <a:prstDash val="solid"/>
                              <a:headEnd type="none" w="med" len="med"/>
                              <a:tailEnd type="triangle" w="med" len="med"/>
                            </a:ln>
                            <a:effectLst/>
                          </wps:spPr>
                          <wps:bodyPr upright="1"/>
                        </wps:wsp>
                        <wpg:grpSp>
                          <wpg:cNvPr id="78" name="组合 231"/>
                          <wpg:cNvGrpSpPr/>
                          <wpg:grpSpPr>
                            <a:xfrm>
                              <a:off x="0" y="0"/>
                              <a:ext cx="50675" cy="33224"/>
                              <a:chOff x="0" y="0"/>
                              <a:chExt cx="50675" cy="33224"/>
                            </a:xfrm>
                            <a:effectLst/>
                          </wpg:grpSpPr>
                          <wps:wsp>
                            <wps:cNvPr id="79" name="AutoShape 12"/>
                            <wps:cNvSpPr/>
                            <wps:spPr>
                              <a:xfrm>
                                <a:off x="38540" y="16474"/>
                                <a:ext cx="12064" cy="3249"/>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rFonts w:ascii="仿宋" w:hAnsi="仿宋" w:eastAsia="仿宋"/>
                                    </w:rPr>
                                  </w:pPr>
                                  <w:r>
                                    <w:rPr>
                                      <w:rFonts w:hint="eastAsia" w:ascii="仿宋" w:hAnsi="仿宋" w:eastAsia="仿宋"/>
                                    </w:rPr>
                                    <w:t>转诊上级医院</w:t>
                                  </w:r>
                                </w:p>
                              </w:txbxContent>
                            </wps:txbx>
                            <wps:bodyPr upright="1"/>
                          </wps:wsp>
                          <wps:wsp>
                            <wps:cNvPr id="80" name="AutoShape 10"/>
                            <wps:cNvSpPr/>
                            <wps:spPr>
                              <a:xfrm>
                                <a:off x="24787" y="11102"/>
                                <a:ext cx="25769" cy="3562"/>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rPr>
                                  </w:pPr>
                                  <w:r>
                                    <w:rPr>
                                      <w:rFonts w:hint="eastAsia" w:ascii="仿宋" w:hAnsi="仿宋" w:eastAsia="仿宋"/>
                                      <w:sz w:val="21"/>
                                      <w:szCs w:val="21"/>
                                    </w:rPr>
                                    <w:t>向陪护人交代病情及签署危重通知单</w:t>
                                  </w:r>
                                </w:p>
                              </w:txbxContent>
                            </wps:txbx>
                            <wps:bodyPr upright="1"/>
                          </wps:wsp>
                          <wps:wsp>
                            <wps:cNvPr id="81" name="AutoShape 8"/>
                            <wps:cNvSpPr/>
                            <wps:spPr>
                              <a:xfrm>
                                <a:off x="24871" y="5441"/>
                                <a:ext cx="25804" cy="3703"/>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rPr>
                                  </w:pPr>
                                  <w:r>
                                    <w:rPr>
                                      <w:rFonts w:hint="eastAsia" w:ascii="仿宋" w:hAnsi="仿宋" w:eastAsia="仿宋"/>
                                      <w:szCs w:val="21"/>
                                    </w:rPr>
                                    <w:t>初步抢救治疗（进行常规抢救措施等</w:t>
                                  </w:r>
                                  <w:r>
                                    <w:rPr>
                                      <w:rFonts w:hint="eastAsia" w:ascii="仿宋" w:hAnsi="仿宋" w:eastAsia="仿宋"/>
                                      <w:sz w:val="24"/>
                                    </w:rPr>
                                    <w:t>）</w:t>
                                  </w:r>
                                </w:p>
                              </w:txbxContent>
                            </wps:txbx>
                            <wps:bodyPr upright="1"/>
                          </wps:wsp>
                          <wps:wsp>
                            <wps:cNvPr id="82" name="AutoShape 2"/>
                            <wps:cNvSpPr/>
                            <wps:spPr>
                              <a:xfrm>
                                <a:off x="38540" y="0"/>
                                <a:ext cx="8464" cy="3249"/>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pPr>
                                  <w:r>
                                    <w:rPr>
                                      <w:rFonts w:hint="eastAsia" w:ascii="仿宋" w:hAnsi="仿宋" w:eastAsia="仿宋" w:cs="仿宋"/>
                                    </w:rPr>
                                    <w:t>抢救室</w:t>
                                  </w:r>
                                </w:p>
                              </w:txbxContent>
                            </wps:txbx>
                            <wps:bodyPr upright="1"/>
                          </wps:wsp>
                          <wps:wsp>
                            <wps:cNvPr id="83" name="AutoShape 3"/>
                            <wps:cNvSpPr/>
                            <wps:spPr>
                              <a:xfrm>
                                <a:off x="20328" y="226"/>
                                <a:ext cx="11184" cy="325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rFonts w:ascii="仿宋" w:hAnsi="仿宋" w:eastAsia="仿宋"/>
                                    </w:rPr>
                                  </w:pPr>
                                  <w:r>
                                    <w:rPr>
                                      <w:rFonts w:hint="eastAsia" w:ascii="仿宋" w:hAnsi="仿宋" w:eastAsia="仿宋"/>
                                    </w:rPr>
                                    <w:t>初步判断病情</w:t>
                                  </w:r>
                                </w:p>
                              </w:txbxContent>
                            </wps:txbx>
                            <wps:bodyPr upright="1"/>
                          </wps:wsp>
                          <wps:wsp>
                            <wps:cNvPr id="84" name="AutoShape 4"/>
                            <wps:cNvSpPr/>
                            <wps:spPr>
                              <a:xfrm>
                                <a:off x="302" y="226"/>
                                <a:ext cx="10287" cy="323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rFonts w:ascii="仿宋" w:hAnsi="仿宋" w:eastAsia="仿宋"/>
                                      <w:sz w:val="21"/>
                                      <w:szCs w:val="21"/>
                                    </w:rPr>
                                  </w:pPr>
                                  <w:r>
                                    <w:rPr>
                                      <w:rFonts w:hint="eastAsia" w:ascii="仿宋" w:hAnsi="仿宋" w:eastAsia="仿宋"/>
                                      <w:sz w:val="21"/>
                                      <w:szCs w:val="21"/>
                                    </w:rPr>
                                    <w:t>糖尿病急症</w:t>
                                  </w:r>
                                </w:p>
                              </w:txbxContent>
                            </wps:txbx>
                            <wps:bodyPr lIns="0" tIns="45720" rIns="0" bIns="45720" upright="1"/>
                          </wps:wsp>
                          <wps:wsp>
                            <wps:cNvPr id="85" name="AutoShape 12"/>
                            <wps:cNvSpPr/>
                            <wps:spPr>
                              <a:xfrm>
                                <a:off x="38616" y="22293"/>
                                <a:ext cx="12059" cy="10931"/>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rFonts w:ascii="仿宋" w:hAnsi="仿宋" w:eastAsia="仿宋"/>
                                    </w:rPr>
                                  </w:pPr>
                                  <w:r>
                                    <w:rPr>
                                      <w:rFonts w:hint="eastAsia" w:ascii="仿宋" w:hAnsi="仿宋" w:eastAsia="仿宋"/>
                                    </w:rPr>
                                    <w:t>专长护士2周后随访患者，专长医生将情况记录档案</w:t>
                                  </w:r>
                                </w:p>
                              </w:txbxContent>
                            </wps:txbx>
                            <wps:bodyPr upright="1"/>
                          </wps:wsp>
                          <wps:wsp>
                            <wps:cNvPr id="86" name="AutoShape 4"/>
                            <wps:cNvSpPr/>
                            <wps:spPr>
                              <a:xfrm>
                                <a:off x="0" y="10655"/>
                                <a:ext cx="10287" cy="5819"/>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rFonts w:ascii="仿宋" w:hAnsi="仿宋" w:eastAsia="仿宋"/>
                                    </w:rPr>
                                  </w:pPr>
                                  <w:r>
                                    <w:rPr>
                                      <w:rFonts w:hint="eastAsia" w:ascii="仿宋" w:hAnsi="仿宋" w:eastAsia="仿宋"/>
                                    </w:rPr>
                                    <w:t>糖尿病管理患者</w:t>
                                  </w:r>
                                </w:p>
                              </w:txbxContent>
                            </wps:txbx>
                            <wps:bodyPr upright="1"/>
                          </wps:wsp>
                          <wps:wsp>
                            <wps:cNvPr id="87" name="AutoShape 4"/>
                            <wps:cNvSpPr/>
                            <wps:spPr>
                              <a:xfrm>
                                <a:off x="0" y="23124"/>
                                <a:ext cx="11486" cy="6524"/>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rFonts w:ascii="仿宋" w:hAnsi="仿宋" w:eastAsia="仿宋"/>
                                    </w:rPr>
                                  </w:pPr>
                                  <w:r>
                                    <w:rPr>
                                      <w:rFonts w:hint="eastAsia" w:ascii="仿宋" w:hAnsi="仿宋" w:eastAsia="仿宋"/>
                                    </w:rPr>
                                    <w:t>糖尿病病情</w:t>
                                  </w:r>
                                </w:p>
                                <w:p>
                                  <w:pPr>
                                    <w:jc w:val="center"/>
                                    <w:rPr>
                                      <w:rFonts w:ascii="仿宋" w:hAnsi="仿宋" w:eastAsia="仿宋"/>
                                    </w:rPr>
                                  </w:pPr>
                                  <w:r>
                                    <w:rPr>
                                      <w:rFonts w:hint="eastAsia" w:ascii="仿宋" w:hAnsi="仿宋" w:eastAsia="仿宋"/>
                                    </w:rPr>
                                    <w:t>稳定</w:t>
                                  </w:r>
                                </w:p>
                              </w:txbxContent>
                            </wps:txbx>
                            <wps:bodyPr upright="1"/>
                          </wps:wsp>
                        </wpg:grpSp>
                        <wps:wsp>
                          <wps:cNvPr id="88" name="Line 6"/>
                          <wps:cNvCnPr/>
                          <wps:spPr>
                            <a:xfrm>
                              <a:off x="5268" y="15869"/>
                              <a:ext cx="0" cy="7255"/>
                            </a:xfrm>
                            <a:prstGeom prst="line">
                              <a:avLst/>
                            </a:prstGeom>
                            <a:ln w="9525" cap="flat" cmpd="sng">
                              <a:solidFill>
                                <a:srgbClr val="000000"/>
                              </a:solidFill>
                              <a:prstDash val="solid"/>
                              <a:headEnd type="none" w="med" len="med"/>
                              <a:tailEnd type="triangle" w="med" len="med"/>
                            </a:ln>
                            <a:effectLst/>
                          </wps:spPr>
                          <wps:bodyPr upright="1"/>
                        </wps:wsp>
                        <wps:wsp>
                          <wps:cNvPr id="89" name="Line 6"/>
                          <wps:cNvCnPr/>
                          <wps:spPr>
                            <a:xfrm flipH="1" flipV="1">
                              <a:off x="11486" y="26126"/>
                              <a:ext cx="27133" cy="0"/>
                            </a:xfrm>
                            <a:prstGeom prst="line">
                              <a:avLst/>
                            </a:prstGeom>
                            <a:ln w="9525" cap="flat" cmpd="sng">
                              <a:solidFill>
                                <a:srgbClr val="000000"/>
                              </a:solidFill>
                              <a:prstDash val="solid"/>
                              <a:headEnd type="none" w="med" len="med"/>
                              <a:tailEnd type="triangle" w="med" len="med"/>
                            </a:ln>
                            <a:effectLst/>
                          </wps:spPr>
                          <wps:bodyPr upright="1"/>
                        </wps:wsp>
                      </wpg:grpSp>
                      <wps:wsp>
                        <wps:cNvPr id="90" name="文本框 254"/>
                        <wps:cNvSpPr txBox="1"/>
                        <wps:spPr>
                          <a:xfrm>
                            <a:off x="11486" y="22897"/>
                            <a:ext cx="27133" cy="3229"/>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r>
                                <w:rPr>
                                  <w:rFonts w:hint="eastAsia" w:ascii="仿宋" w:hAnsi="仿宋" w:eastAsia="仿宋"/>
                                </w:rPr>
                                <w:t>血糖控制达标，每3个月面对面随访一</w:t>
                              </w:r>
                              <w:r>
                                <w:rPr>
                                  <w:rFonts w:hint="eastAsia"/>
                                </w:rPr>
                                <w:t>次</w:t>
                              </w:r>
                            </w:p>
                          </w:txbxContent>
                        </wps:txbx>
                        <wps:bodyPr upright="1"/>
                      </wps:wsp>
                    </wpg:wgp>
                  </a:graphicData>
                </a:graphic>
              </wp:inline>
            </w:drawing>
          </mc:Choice>
          <mc:Fallback>
            <w:pict>
              <v:group id="_x0000_s1026" o:spid="_x0000_s1026" o:spt="203" style="height:238.3pt;width:385.8pt;" coordsize="50675,33224" o:gfxdata="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">
                <o:lock v:ext="edit" aspectratio="f"/>
                <v:group id="组合 223" o:spid="_x0000_s1026" o:spt="203" style="position:absolute;left:0;top:0;height:33224;width:50675;" coordsize="50675,33224"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o:lock v:ext="edit" aspectratio="f"/>
                  <v:line id="Line 6" o:spid="_x0000_s1026" o:spt="20" style="position:absolute;left:10655;top:1768;height:6;width:9715;" filled="f" stroked="t" coordsize="21600,21600" o:gfxdata="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zq8k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5" o:spid="_x0000_s1026" o:spt="20" style="position:absolute;left:32041;top:2070;height:7;width:6477;" filled="f" stroked="t" coordsize="21600,21600" o:gfxdata="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voIu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7" o:spid="_x0000_s1026" o:spt="20" style="position:absolute;left:44314;top:3476;flip:x;height:1965;width:24;" filled="f" stroked="t" coordsize="21600,21600" o:gfxdata="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5/oaC/&#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9" o:spid="_x0000_s1026" o:spt="20" style="position:absolute;left:44314;top:9144;flip:x;height:1958;width:0;" filled="f" stroked="t" coordsize="21600,21600" o:gfxdata="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WOd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11" o:spid="_x0000_s1026" o:spt="20" style="position:absolute;left:44390;top:14131;flip:x;height:2343;width:0;" filled="f" stroked="t" coordsize="21600,21600" o:gfxdata="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7an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11" o:spid="_x0000_s1026" o:spt="20" style="position:absolute;left:44616;top:19648;flip:x;height:2337;width:0;" filled="f" stroked="t" coordsize="21600,21600" o:gfxdata="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4IAj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6" o:spid="_x0000_s1026" o:spt="20" style="position:absolute;left:5320;top:3276;flip:y;height:7294;width:0;" filled="f" stroked="t" coordsize="21600,21600" o:gfxdata="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Ep6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id="组合 231" o:spid="_x0000_s1026" o:spt="203" style="position:absolute;left:0;top:0;height:33224;width:50675;" coordsize="50675,33224" o:gfxdata="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NGneLO7AAAA2wAAAA8AAAAAAAAAAQAgAAAAIgAAAGRycy9kb3ducmV2LnhtbFBL&#10;AQIUABQAAAAIAIdO4kAzLwWeOwAAADkAAAAVAAAAAAAAAAEAIAAAAAoBAABkcnMvZ3JvdXBzaGFw&#10;ZXhtbC54bWxQSwUGAAAAAAYABgBgAQAAxwMAAAAA&#10;">
                    <o:lock v:ext="edit" aspectratio="f"/>
                    <v:roundrect id="AutoShape 12" o:spid="_x0000_s1026" o:spt="2" style="position:absolute;left:38540;top:16474;height:3249;width:12064;" fillcolor="#FFFFFF" filled="t" stroked="t" coordsize="21600,21600" arcsize="0.166666666666667" o:gfxdata="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hmlY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jc w:val="center"/>
                              <w:rPr>
                                <w:rFonts w:ascii="仿宋" w:hAnsi="仿宋" w:eastAsia="仿宋"/>
                              </w:rPr>
                            </w:pPr>
                            <w:r>
                              <w:rPr>
                                <w:rFonts w:hint="eastAsia" w:ascii="仿宋" w:hAnsi="仿宋" w:eastAsia="仿宋"/>
                              </w:rPr>
                              <w:t>转诊上级医院</w:t>
                            </w:r>
                          </w:p>
                        </w:txbxContent>
                      </v:textbox>
                    </v:roundrect>
                    <v:roundrect id="AutoShape 10" o:spid="_x0000_s1026" o:spt="2" style="position:absolute;left:24787;top:11102;height:3562;width:25769;" fillcolor="#FFFFFF" filled="t" stroked="t" coordsize="21600,21600" arcsize="0.166666666666667" o:gfxdata="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abDi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rPr>
                            </w:pPr>
                            <w:r>
                              <w:rPr>
                                <w:rFonts w:hint="eastAsia" w:ascii="仿宋" w:hAnsi="仿宋" w:eastAsia="仿宋"/>
                                <w:sz w:val="21"/>
                                <w:szCs w:val="21"/>
                              </w:rPr>
                              <w:t>向陪护人交代病情及签署危重通知单</w:t>
                            </w:r>
                          </w:p>
                        </w:txbxContent>
                      </v:textbox>
                    </v:roundrect>
                    <v:roundrect id="AutoShape 8" o:spid="_x0000_s1026" o:spt="2" style="position:absolute;left:24871;top:5441;height:3703;width:25804;" fillcolor="#FFFFFF" filled="t" stroked="t" coordsize="21600,21600" arcsize="0.166666666666667" o:gfxdata="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JRV5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rPr>
                            </w:pPr>
                            <w:r>
                              <w:rPr>
                                <w:rFonts w:hint="eastAsia" w:ascii="仿宋" w:hAnsi="仿宋" w:eastAsia="仿宋"/>
                                <w:szCs w:val="21"/>
                              </w:rPr>
                              <w:t>初步抢救治疗（进行常规抢救措施等</w:t>
                            </w:r>
                            <w:r>
                              <w:rPr>
                                <w:rFonts w:hint="eastAsia" w:ascii="仿宋" w:hAnsi="仿宋" w:eastAsia="仿宋"/>
                                <w:sz w:val="24"/>
                              </w:rPr>
                              <w:t>）</w:t>
                            </w:r>
                          </w:p>
                        </w:txbxContent>
                      </v:textbox>
                    </v:roundrect>
                    <v:roundrect id="AutoShape 2" o:spid="_x0000_s1026" o:spt="2" style="position:absolute;left:38540;top:0;height:3249;width:8464;" fillcolor="#FFFFFF" filled="t" stroked="t" coordsize="21600,21600" arcsize="0.166666666666667" o:gfxdata="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T3iw6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pPr>
                            <w:r>
                              <w:rPr>
                                <w:rFonts w:hint="eastAsia" w:ascii="仿宋" w:hAnsi="仿宋" w:eastAsia="仿宋" w:cs="仿宋"/>
                              </w:rPr>
                              <w:t>抢救室</w:t>
                            </w:r>
                          </w:p>
                        </w:txbxContent>
                      </v:textbox>
                    </v:roundrect>
                    <v:roundrect id="AutoShape 3" o:spid="_x0000_s1026" o:spt="2" style="position:absolute;left:20328;top:226;height:3250;width:11184;" fillcolor="#FFFFFF" filled="t" stroked="t" coordsize="21600,21600" arcsize="0.166666666666667" o:gfxdata="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uy6V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jc w:val="center"/>
                              <w:rPr>
                                <w:rFonts w:ascii="仿宋" w:hAnsi="仿宋" w:eastAsia="仿宋"/>
                              </w:rPr>
                            </w:pPr>
                            <w:r>
                              <w:rPr>
                                <w:rFonts w:hint="eastAsia" w:ascii="仿宋" w:hAnsi="仿宋" w:eastAsia="仿宋"/>
                              </w:rPr>
                              <w:t>初步判断病情</w:t>
                            </w:r>
                          </w:p>
                        </w:txbxContent>
                      </v:textbox>
                    </v:roundrect>
                    <v:roundrect id="AutoShape 4" o:spid="_x0000_s1026" o:spt="2" style="position:absolute;left:302;top:226;height:3235;width:10287;" fillcolor="#FFFFFF" filled="t" stroked="t" coordsize="21600,21600" arcsize="0.166666666666667" o:gfxdata="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5pLwO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1.27mm,0mm,1.27mm">
                        <w:txbxContent>
                          <w:p>
                            <w:pPr>
                              <w:jc w:val="center"/>
                              <w:rPr>
                                <w:rFonts w:ascii="仿宋" w:hAnsi="仿宋" w:eastAsia="仿宋"/>
                                <w:sz w:val="21"/>
                                <w:szCs w:val="21"/>
                              </w:rPr>
                            </w:pPr>
                            <w:r>
                              <w:rPr>
                                <w:rFonts w:hint="eastAsia" w:ascii="仿宋" w:hAnsi="仿宋" w:eastAsia="仿宋"/>
                                <w:sz w:val="21"/>
                                <w:szCs w:val="21"/>
                              </w:rPr>
                              <w:t>糖尿病急症</w:t>
                            </w:r>
                          </w:p>
                        </w:txbxContent>
                      </v:textbox>
                    </v:roundrect>
                    <v:roundrect id="AutoShape 12" o:spid="_x0000_s1026" o:spt="2" style="position:absolute;left:38616;top:22293;height:10931;width:12059;" fillcolor="#FFFFFF" filled="t" stroked="t" coordsize="21600,21600" arcsize="0.166666666666667" o:gfxdata="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x4Te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rPr>
                                <w:rFonts w:ascii="仿宋" w:hAnsi="仿宋" w:eastAsia="仿宋"/>
                              </w:rPr>
                            </w:pPr>
                            <w:r>
                              <w:rPr>
                                <w:rFonts w:hint="eastAsia" w:ascii="仿宋" w:hAnsi="仿宋" w:eastAsia="仿宋"/>
                              </w:rPr>
                              <w:t>专长护士2周后随访患者，专长医生将情况记录档案</w:t>
                            </w:r>
                          </w:p>
                        </w:txbxContent>
                      </v:textbox>
                    </v:roundrect>
                    <v:roundrect id="AutoShape 4" o:spid="_x0000_s1026" o:spt="2" style="position:absolute;left:0;top:10655;height:5819;width:10287;" fillcolor="#FFFFFF" filled="t" stroked="t" coordsize="21600,21600" arcsize="0.166666666666667" o:gfxdata="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MjQ2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rPr>
                                <w:rFonts w:ascii="仿宋" w:hAnsi="仿宋" w:eastAsia="仿宋"/>
                              </w:rPr>
                            </w:pPr>
                            <w:r>
                              <w:rPr>
                                <w:rFonts w:hint="eastAsia" w:ascii="仿宋" w:hAnsi="仿宋" w:eastAsia="仿宋"/>
                              </w:rPr>
                              <w:t>糖尿病管理患者</w:t>
                            </w:r>
                          </w:p>
                        </w:txbxContent>
                      </v:textbox>
                    </v:roundrect>
                    <v:roundrect id="AutoShape 4" o:spid="_x0000_s1026" o:spt="2" style="position:absolute;left:0;top:23124;height:6524;width:11486;" fillcolor="#FFFFFF" filled="t" stroked="t" coordsize="21600,21600" arcsize="0.166666666666667" o:gfxdata="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gCiW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jc w:val="center"/>
                              <w:rPr>
                                <w:rFonts w:ascii="仿宋" w:hAnsi="仿宋" w:eastAsia="仿宋"/>
                              </w:rPr>
                            </w:pPr>
                            <w:r>
                              <w:rPr>
                                <w:rFonts w:hint="eastAsia" w:ascii="仿宋" w:hAnsi="仿宋" w:eastAsia="仿宋"/>
                              </w:rPr>
                              <w:t>糖尿病病情</w:t>
                            </w:r>
                          </w:p>
                          <w:p>
                            <w:pPr>
                              <w:jc w:val="center"/>
                              <w:rPr>
                                <w:rFonts w:ascii="仿宋" w:hAnsi="仿宋" w:eastAsia="仿宋"/>
                              </w:rPr>
                            </w:pPr>
                            <w:r>
                              <w:rPr>
                                <w:rFonts w:hint="eastAsia" w:ascii="仿宋" w:hAnsi="仿宋" w:eastAsia="仿宋"/>
                              </w:rPr>
                              <w:t>稳定</w:t>
                            </w:r>
                          </w:p>
                        </w:txbxContent>
                      </v:textbox>
                    </v:roundrect>
                  </v:group>
                  <v:line id="Line 6" o:spid="_x0000_s1026" o:spt="20" style="position:absolute;left:5268;top:15869;height:7255;width:0;" filled="f" stroked="t" coordsize="21600,21600" o:gfxdata="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9VlK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Line 6" o:spid="_x0000_s1026" o:spt="20" style="position:absolute;left:11486;top:26126;flip:x y;height:0;width:27133;" filled="f" stroked="t" coordsize="21600,21600" o:gfxdata="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6Kcg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v:shape id="文本框 254" o:spid="_x0000_s1026" o:spt="202" type="#_x0000_t202" style="position:absolute;left:11486;top:22897;height:3229;width:27133;" fillcolor="#FFFFFF" filled="t" stroked="t" coordsize="21600,21600" o:gfxdata="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RJ4F8tAAAANsAAAAPAAAA&#10;AAAAAAEAIAAAACIAAABkcnMvZG93bnJldi54bWxQSwECFAAUAAAACACHTuJAMy8FnjsAAAA5AAAA&#10;EAAAAAAAAAABACAAAAADAQAAZHJzL3NoYXBleG1sLnhtbFBLBQYAAAAABgAGAFsBAACtAwAAAAA=&#10;">
                  <v:fill on="t" focussize="0,0"/>
                  <v:stroke weight="0.5pt" color="#000000" joinstyle="miter"/>
                  <v:imagedata o:title=""/>
                  <o:lock v:ext="edit" aspectratio="f"/>
                  <v:textbox>
                    <w:txbxContent>
                      <w:p>
                        <w:r>
                          <w:rPr>
                            <w:rFonts w:hint="eastAsia" w:ascii="仿宋" w:hAnsi="仿宋" w:eastAsia="仿宋"/>
                          </w:rPr>
                          <w:t>血糖控制达标，每3个月面对面随访一</w:t>
                        </w:r>
                        <w:r>
                          <w:rPr>
                            <w:rFonts w:hint="eastAsia"/>
                          </w:rPr>
                          <w:t>次</w:t>
                        </w:r>
                      </w:p>
                    </w:txbxContent>
                  </v:textbox>
                </v:shape>
                <w10:wrap type="none"/>
                <w10:anchorlock/>
              </v:group>
            </w:pict>
          </mc:Fallback>
        </mc:AlternateContent>
      </w:r>
    </w:p>
    <w:p>
      <w:pPr>
        <w:keepNext w:val="0"/>
        <w:keepLines w:val="0"/>
        <w:pageBreakBefore w:val="0"/>
        <w:kinsoku/>
        <w:wordWrap/>
        <w:overflowPunct w:val="0"/>
        <w:topLinePunct w:val="0"/>
        <w:autoSpaceDE/>
        <w:autoSpaceDN/>
        <w:bidi w:val="0"/>
        <w:spacing w:line="560" w:lineRule="exact"/>
        <w:ind w:left="0" w:leftChars="0" w:firstLine="562" w:firstLineChars="200"/>
        <w:jc w:val="both"/>
        <w:textAlignment w:val="auto"/>
        <w:outlineLvl w:val="0"/>
        <w:rPr>
          <w:rFonts w:hint="eastAsia" w:ascii="Times New Roman" w:hAnsi="Times New Roman" w:eastAsia="宋体" w:cs="宋体"/>
          <w:b/>
          <w:bCs/>
          <w:color w:val="auto"/>
          <w:sz w:val="28"/>
          <w:szCs w:val="28"/>
        </w:rPr>
      </w:pPr>
      <w:r>
        <w:rPr>
          <w:rFonts w:hint="eastAsia" w:ascii="Times New Roman" w:hAnsi="Times New Roman" w:eastAsia="宋体" w:cs="宋体"/>
          <w:b/>
          <w:bCs/>
          <w:color w:val="auto"/>
          <w:sz w:val="28"/>
          <w:szCs w:val="28"/>
        </w:rPr>
        <w:t>（四）2型糖尿病急性并发症的识别与处理</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outlineLvl w:val="1"/>
        <w:rPr>
          <w:rStyle w:val="15"/>
          <w:rFonts w:hint="eastAsia" w:ascii="Times New Roman" w:hAnsi="Times New Roman" w:eastAsia="宋体" w:cs="宋体"/>
          <w:bCs/>
          <w:color w:val="auto"/>
          <w:sz w:val="28"/>
          <w:szCs w:val="28"/>
        </w:rPr>
      </w:pPr>
      <w:r>
        <w:rPr>
          <w:rStyle w:val="15"/>
          <w:rFonts w:hint="eastAsia" w:ascii="Times New Roman" w:hAnsi="Times New Roman" w:eastAsia="宋体" w:cs="宋体"/>
          <w:bCs/>
          <w:color w:val="auto"/>
          <w:sz w:val="28"/>
          <w:szCs w:val="28"/>
        </w:rPr>
        <w:t>1. 低血糖</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rPr>
          <w:rStyle w:val="15"/>
          <w:rFonts w:hint="eastAsia" w:ascii="Times New Roman" w:hAnsi="Times New Roman" w:eastAsia="宋体" w:cs="宋体"/>
          <w:bCs/>
          <w:color w:val="auto"/>
          <w:sz w:val="28"/>
          <w:szCs w:val="28"/>
        </w:rPr>
      </w:pPr>
      <w:r>
        <w:rPr>
          <w:rStyle w:val="15"/>
          <w:rFonts w:hint="eastAsia" w:ascii="Times New Roman" w:hAnsi="Times New Roman" w:eastAsia="宋体" w:cs="宋体"/>
          <w:bCs/>
          <w:color w:val="auto"/>
          <w:sz w:val="28"/>
          <w:szCs w:val="28"/>
        </w:rPr>
        <w:t>（1）低血糖的识别：如2型糖尿病患者出现交感神经兴奋（如心悸、焦虑、出汗等）或中枢神经系统症状（如神志改变、认知障碍、抽搐和昏迷）时应考虑低血糖的可能，及时监测血糖。</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rPr>
          <w:rStyle w:val="15"/>
          <w:rFonts w:hint="eastAsia" w:ascii="Times New Roman" w:hAnsi="Times New Roman" w:eastAsia="宋体" w:cs="宋体"/>
          <w:bCs/>
          <w:color w:val="auto"/>
          <w:sz w:val="28"/>
          <w:szCs w:val="28"/>
        </w:rPr>
      </w:pPr>
      <w:r>
        <w:rPr>
          <w:rStyle w:val="15"/>
          <w:rFonts w:hint="eastAsia" w:ascii="Times New Roman" w:hAnsi="Times New Roman" w:eastAsia="宋体" w:cs="宋体"/>
          <w:bCs/>
          <w:color w:val="auto"/>
          <w:sz w:val="28"/>
          <w:szCs w:val="28"/>
        </w:rPr>
        <w:t>诊断标准：2型糖尿病患者只要血糖水平</w:t>
      </w:r>
      <w:r>
        <w:rPr>
          <w:rStyle w:val="17"/>
          <w:rFonts w:hint="eastAsia" w:ascii="Times New Roman" w:hAnsi="Times New Roman" w:eastAsia="宋体" w:cs="宋体"/>
          <w:bCs/>
          <w:color w:val="auto"/>
          <w:sz w:val="28"/>
          <w:szCs w:val="28"/>
        </w:rPr>
        <w:t>≤3.9mmol/L</w:t>
      </w:r>
      <w:r>
        <w:rPr>
          <w:rStyle w:val="15"/>
          <w:rFonts w:hint="eastAsia" w:ascii="Times New Roman" w:hAnsi="Times New Roman" w:eastAsia="宋体" w:cs="宋体"/>
          <w:bCs/>
          <w:color w:val="auto"/>
          <w:sz w:val="28"/>
          <w:szCs w:val="28"/>
        </w:rPr>
        <w:t>就或有典型低血糖症状属于低血糖范畴。</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rPr>
          <w:rStyle w:val="15"/>
          <w:rFonts w:hint="eastAsia" w:ascii="Times New Roman" w:hAnsi="Times New Roman" w:eastAsia="宋体" w:cs="宋体"/>
          <w:color w:val="auto"/>
          <w:sz w:val="28"/>
          <w:szCs w:val="28"/>
        </w:rPr>
      </w:pPr>
      <w:r>
        <w:rPr>
          <w:rStyle w:val="15"/>
          <w:rFonts w:hint="eastAsia" w:ascii="Times New Roman" w:hAnsi="Times New Roman" w:eastAsia="宋体" w:cs="宋体"/>
          <w:bCs/>
          <w:color w:val="auto"/>
          <w:sz w:val="28"/>
          <w:szCs w:val="28"/>
        </w:rPr>
        <w:t>（2）低血糖的处理：</w:t>
      </w:r>
      <w:r>
        <w:rPr>
          <w:rStyle w:val="15"/>
          <w:rFonts w:hint="eastAsia" w:ascii="Times New Roman" w:hAnsi="Times New Roman" w:eastAsia="宋体" w:cs="宋体"/>
          <w:color w:val="auto"/>
          <w:sz w:val="28"/>
          <w:szCs w:val="28"/>
        </w:rPr>
        <w:t>血糖</w:t>
      </w:r>
      <w:r>
        <w:rPr>
          <w:rStyle w:val="17"/>
          <w:rFonts w:hint="eastAsia" w:ascii="Times New Roman" w:hAnsi="Times New Roman" w:eastAsia="宋体" w:cs="宋体"/>
          <w:color w:val="auto"/>
          <w:sz w:val="28"/>
          <w:szCs w:val="28"/>
        </w:rPr>
        <w:t xml:space="preserve">≤3.9mmol/L </w:t>
      </w:r>
      <w:r>
        <w:rPr>
          <w:rStyle w:val="15"/>
          <w:rFonts w:hint="eastAsia" w:ascii="Times New Roman" w:hAnsi="Times New Roman" w:eastAsia="宋体" w:cs="宋体"/>
          <w:bCs/>
          <w:color w:val="auto"/>
          <w:sz w:val="28"/>
          <w:szCs w:val="28"/>
        </w:rPr>
        <w:t>或有典型低血糖症状</w:t>
      </w:r>
      <w:r>
        <w:rPr>
          <w:rStyle w:val="15"/>
          <w:rFonts w:hint="eastAsia" w:ascii="Times New Roman" w:hAnsi="Times New Roman" w:eastAsia="宋体" w:cs="宋体"/>
          <w:color w:val="auto"/>
          <w:sz w:val="28"/>
          <w:szCs w:val="28"/>
        </w:rPr>
        <w:t>即需要补充葡萄糖或含糖食物。意识清楚者给予口服</w:t>
      </w:r>
      <w:r>
        <w:rPr>
          <w:rStyle w:val="17"/>
          <w:rFonts w:hint="eastAsia" w:ascii="Times New Roman" w:hAnsi="Times New Roman" w:eastAsia="宋体" w:cs="宋体"/>
          <w:color w:val="auto"/>
          <w:sz w:val="28"/>
          <w:szCs w:val="28"/>
        </w:rPr>
        <w:t>15-20g</w:t>
      </w:r>
      <w:r>
        <w:rPr>
          <w:rStyle w:val="15"/>
          <w:rFonts w:hint="eastAsia" w:ascii="Times New Roman" w:hAnsi="Times New Roman" w:eastAsia="宋体" w:cs="宋体"/>
          <w:color w:val="auto"/>
          <w:sz w:val="28"/>
          <w:szCs w:val="28"/>
        </w:rPr>
        <w:t>糖类食品（葡萄糖为佳）；意识障碍者给予</w:t>
      </w:r>
      <w:r>
        <w:rPr>
          <w:rStyle w:val="17"/>
          <w:rFonts w:hint="eastAsia" w:ascii="Times New Roman" w:hAnsi="Times New Roman" w:eastAsia="宋体" w:cs="宋体"/>
          <w:color w:val="auto"/>
          <w:sz w:val="28"/>
          <w:szCs w:val="28"/>
        </w:rPr>
        <w:t xml:space="preserve">50% </w:t>
      </w:r>
      <w:r>
        <w:rPr>
          <w:rStyle w:val="15"/>
          <w:rFonts w:hint="eastAsia" w:ascii="Times New Roman" w:hAnsi="Times New Roman" w:eastAsia="宋体" w:cs="宋体"/>
          <w:color w:val="auto"/>
          <w:sz w:val="28"/>
          <w:szCs w:val="28"/>
        </w:rPr>
        <w:t>葡萄糖溶液</w:t>
      </w:r>
      <w:r>
        <w:rPr>
          <w:rStyle w:val="17"/>
          <w:rFonts w:hint="eastAsia" w:ascii="Times New Roman" w:hAnsi="Times New Roman" w:eastAsia="宋体" w:cs="宋体"/>
          <w:color w:val="auto"/>
          <w:sz w:val="28"/>
          <w:szCs w:val="28"/>
        </w:rPr>
        <w:t>20-40ml</w:t>
      </w:r>
      <w:r>
        <w:rPr>
          <w:rStyle w:val="15"/>
          <w:rFonts w:hint="eastAsia" w:ascii="Times New Roman" w:hAnsi="Times New Roman" w:eastAsia="宋体" w:cs="宋体"/>
          <w:color w:val="auto"/>
          <w:sz w:val="28"/>
          <w:szCs w:val="28"/>
        </w:rPr>
        <w:t>静脉注射。每</w:t>
      </w:r>
      <w:r>
        <w:rPr>
          <w:rStyle w:val="17"/>
          <w:rFonts w:hint="eastAsia" w:ascii="Times New Roman" w:hAnsi="Times New Roman" w:eastAsia="宋体" w:cs="宋体"/>
          <w:color w:val="auto"/>
          <w:sz w:val="28"/>
          <w:szCs w:val="28"/>
        </w:rPr>
        <w:t>15</w:t>
      </w:r>
      <w:r>
        <w:rPr>
          <w:rStyle w:val="15"/>
          <w:rFonts w:hint="eastAsia" w:ascii="Times New Roman" w:hAnsi="Times New Roman" w:eastAsia="宋体" w:cs="宋体"/>
          <w:color w:val="auto"/>
          <w:sz w:val="28"/>
          <w:szCs w:val="28"/>
        </w:rPr>
        <w:t>分钟监测血糖</w:t>
      </w:r>
      <w:r>
        <w:rPr>
          <w:rStyle w:val="17"/>
          <w:rFonts w:hint="eastAsia" w:ascii="Times New Roman" w:hAnsi="Times New Roman" w:eastAsia="宋体" w:cs="宋体"/>
          <w:color w:val="auto"/>
          <w:sz w:val="28"/>
          <w:szCs w:val="28"/>
        </w:rPr>
        <w:t>1</w:t>
      </w:r>
      <w:r>
        <w:rPr>
          <w:rStyle w:val="15"/>
          <w:rFonts w:hint="eastAsia" w:ascii="Times New Roman" w:hAnsi="Times New Roman" w:eastAsia="宋体" w:cs="宋体"/>
          <w:color w:val="auto"/>
          <w:sz w:val="28"/>
          <w:szCs w:val="28"/>
        </w:rPr>
        <w:t>次。如血糖仍</w:t>
      </w:r>
      <w:r>
        <w:rPr>
          <w:rStyle w:val="17"/>
          <w:rFonts w:hint="eastAsia" w:ascii="Times New Roman" w:hAnsi="Times New Roman" w:eastAsia="宋体" w:cs="宋体"/>
          <w:color w:val="auto"/>
          <w:sz w:val="28"/>
          <w:szCs w:val="28"/>
        </w:rPr>
        <w:t>≤3.9mmol/L</w:t>
      </w:r>
      <w:r>
        <w:rPr>
          <w:rStyle w:val="15"/>
          <w:rFonts w:hint="eastAsia" w:ascii="Times New Roman" w:hAnsi="Times New Roman" w:eastAsia="宋体" w:cs="宋体"/>
          <w:color w:val="auto"/>
          <w:sz w:val="28"/>
          <w:szCs w:val="28"/>
        </w:rPr>
        <w:t>，再给予</w:t>
      </w:r>
      <w:r>
        <w:rPr>
          <w:rStyle w:val="17"/>
          <w:rFonts w:hint="eastAsia" w:ascii="Times New Roman" w:hAnsi="Times New Roman" w:eastAsia="宋体" w:cs="宋体"/>
          <w:color w:val="auto"/>
          <w:sz w:val="28"/>
          <w:szCs w:val="28"/>
        </w:rPr>
        <w:t>15-20g</w:t>
      </w:r>
      <w:r>
        <w:rPr>
          <w:rStyle w:val="15"/>
          <w:rFonts w:hint="eastAsia" w:ascii="Times New Roman" w:hAnsi="Times New Roman" w:eastAsia="宋体" w:cs="宋体"/>
          <w:color w:val="auto"/>
          <w:sz w:val="28"/>
          <w:szCs w:val="28"/>
        </w:rPr>
        <w:t>葡萄糖口服或</w:t>
      </w:r>
      <w:r>
        <w:rPr>
          <w:rStyle w:val="17"/>
          <w:rFonts w:hint="eastAsia" w:ascii="Times New Roman" w:hAnsi="Times New Roman" w:eastAsia="宋体" w:cs="宋体"/>
          <w:color w:val="auto"/>
          <w:sz w:val="28"/>
          <w:szCs w:val="28"/>
        </w:rPr>
        <w:t>50%</w:t>
      </w:r>
      <w:r>
        <w:rPr>
          <w:rStyle w:val="15"/>
          <w:rFonts w:hint="eastAsia" w:ascii="Times New Roman" w:hAnsi="Times New Roman" w:eastAsia="宋体" w:cs="宋体"/>
          <w:color w:val="auto"/>
          <w:sz w:val="28"/>
          <w:szCs w:val="28"/>
        </w:rPr>
        <w:t>葡萄糖溶液</w:t>
      </w:r>
      <w:r>
        <w:rPr>
          <w:rStyle w:val="17"/>
          <w:rFonts w:hint="eastAsia" w:ascii="Times New Roman" w:hAnsi="Times New Roman" w:eastAsia="宋体" w:cs="宋体"/>
          <w:color w:val="auto"/>
          <w:sz w:val="28"/>
          <w:szCs w:val="28"/>
        </w:rPr>
        <w:t>20-40ml</w:t>
      </w:r>
      <w:r>
        <w:rPr>
          <w:rStyle w:val="15"/>
          <w:rFonts w:hint="eastAsia" w:ascii="Times New Roman" w:hAnsi="Times New Roman" w:eastAsia="宋体" w:cs="宋体"/>
          <w:color w:val="auto"/>
          <w:sz w:val="28"/>
          <w:szCs w:val="28"/>
        </w:rPr>
        <w:t>静脉注射；如血糖在</w:t>
      </w:r>
      <w:r>
        <w:rPr>
          <w:rStyle w:val="17"/>
          <w:rFonts w:hint="eastAsia" w:ascii="Times New Roman" w:hAnsi="Times New Roman" w:eastAsia="宋体" w:cs="宋体"/>
          <w:color w:val="auto"/>
          <w:sz w:val="28"/>
          <w:szCs w:val="28"/>
        </w:rPr>
        <w:t>3.9mmol/L</w:t>
      </w:r>
      <w:r>
        <w:rPr>
          <w:rStyle w:val="15"/>
          <w:rFonts w:hint="eastAsia" w:ascii="Times New Roman" w:hAnsi="Times New Roman" w:eastAsia="宋体" w:cs="宋体"/>
          <w:color w:val="auto"/>
          <w:sz w:val="28"/>
          <w:szCs w:val="28"/>
        </w:rPr>
        <w:t>以上，但距离下一次就餐时间在</w:t>
      </w:r>
      <w:r>
        <w:rPr>
          <w:rStyle w:val="17"/>
          <w:rFonts w:hint="eastAsia" w:ascii="Times New Roman" w:hAnsi="Times New Roman" w:eastAsia="宋体" w:cs="宋体"/>
          <w:color w:val="auto"/>
          <w:sz w:val="28"/>
          <w:szCs w:val="28"/>
        </w:rPr>
        <w:t>1h</w:t>
      </w:r>
      <w:r>
        <w:rPr>
          <w:rStyle w:val="15"/>
          <w:rFonts w:hint="eastAsia" w:ascii="Times New Roman" w:hAnsi="Times New Roman" w:eastAsia="宋体" w:cs="宋体"/>
          <w:color w:val="auto"/>
          <w:sz w:val="28"/>
          <w:szCs w:val="28"/>
        </w:rPr>
        <w:t>以上，给予含淀粉或蛋白质食物；如血糖</w:t>
      </w:r>
      <w:r>
        <w:rPr>
          <w:rStyle w:val="17"/>
          <w:rFonts w:hint="eastAsia" w:ascii="Times New Roman" w:hAnsi="Times New Roman" w:eastAsia="宋体" w:cs="宋体"/>
          <w:color w:val="auto"/>
          <w:sz w:val="28"/>
          <w:szCs w:val="28"/>
        </w:rPr>
        <w:t>≤3.0mmol/L</w:t>
      </w:r>
      <w:r>
        <w:rPr>
          <w:rStyle w:val="15"/>
          <w:rFonts w:hint="eastAsia" w:ascii="Times New Roman" w:hAnsi="Times New Roman" w:eastAsia="宋体" w:cs="宋体"/>
          <w:color w:val="auto"/>
          <w:sz w:val="28"/>
          <w:szCs w:val="28"/>
        </w:rPr>
        <w:t>，继续给予</w:t>
      </w:r>
      <w:r>
        <w:rPr>
          <w:rStyle w:val="17"/>
          <w:rFonts w:hint="eastAsia" w:ascii="Times New Roman" w:hAnsi="Times New Roman" w:eastAsia="宋体" w:cs="宋体"/>
          <w:color w:val="auto"/>
          <w:sz w:val="28"/>
          <w:szCs w:val="28"/>
        </w:rPr>
        <w:t>50%</w:t>
      </w:r>
      <w:r>
        <w:rPr>
          <w:rStyle w:val="15"/>
          <w:rFonts w:hint="eastAsia" w:ascii="Times New Roman" w:hAnsi="Times New Roman" w:eastAsia="宋体" w:cs="宋体"/>
          <w:color w:val="auto"/>
          <w:sz w:val="28"/>
          <w:szCs w:val="28"/>
        </w:rPr>
        <w:t>葡萄糖溶液</w:t>
      </w:r>
      <w:r>
        <w:rPr>
          <w:rStyle w:val="17"/>
          <w:rFonts w:hint="eastAsia" w:ascii="Times New Roman" w:hAnsi="Times New Roman" w:eastAsia="宋体" w:cs="宋体"/>
          <w:color w:val="auto"/>
          <w:sz w:val="28"/>
          <w:szCs w:val="28"/>
        </w:rPr>
        <w:t>60ml</w:t>
      </w:r>
      <w:r>
        <w:rPr>
          <w:rStyle w:val="15"/>
          <w:rFonts w:hint="eastAsia" w:ascii="Times New Roman" w:hAnsi="Times New Roman" w:eastAsia="宋体" w:cs="宋体"/>
          <w:color w:val="auto"/>
          <w:sz w:val="28"/>
          <w:szCs w:val="28"/>
        </w:rPr>
        <w:t>静脉注射。如低血糖仍未纠正，给予静脉注射</w:t>
      </w:r>
      <w:r>
        <w:rPr>
          <w:rStyle w:val="17"/>
          <w:rFonts w:hint="eastAsia" w:ascii="Times New Roman" w:hAnsi="Times New Roman" w:eastAsia="宋体" w:cs="宋体"/>
          <w:color w:val="auto"/>
          <w:sz w:val="28"/>
          <w:szCs w:val="28"/>
        </w:rPr>
        <w:t>5%</w:t>
      </w:r>
      <w:r>
        <w:rPr>
          <w:rStyle w:val="15"/>
          <w:rFonts w:hint="eastAsia" w:ascii="Times New Roman" w:hAnsi="Times New Roman" w:eastAsia="宋体" w:cs="宋体"/>
          <w:color w:val="auto"/>
          <w:sz w:val="28"/>
          <w:szCs w:val="28"/>
        </w:rPr>
        <w:t>或</w:t>
      </w:r>
      <w:r>
        <w:rPr>
          <w:rStyle w:val="17"/>
          <w:rFonts w:hint="eastAsia" w:ascii="Times New Roman" w:hAnsi="Times New Roman" w:eastAsia="宋体" w:cs="宋体"/>
          <w:color w:val="auto"/>
          <w:sz w:val="28"/>
          <w:szCs w:val="28"/>
        </w:rPr>
        <w:t>10%</w:t>
      </w:r>
      <w:r>
        <w:rPr>
          <w:rStyle w:val="15"/>
          <w:rFonts w:hint="eastAsia" w:ascii="Times New Roman" w:hAnsi="Times New Roman" w:eastAsia="宋体" w:cs="宋体"/>
          <w:color w:val="auto"/>
          <w:sz w:val="28"/>
          <w:szCs w:val="28"/>
        </w:rPr>
        <w:t>葡萄糖溶液，并在监护下及时转诊。</w:t>
      </w:r>
    </w:p>
    <w:p>
      <w:pPr>
        <w:keepNext w:val="0"/>
        <w:keepLines w:val="0"/>
        <w:pageBreakBefore w:val="0"/>
        <w:widowControl w:val="0"/>
        <w:numPr>
          <w:ilvl w:val="255"/>
          <w:numId w:val="0"/>
        </w:numPr>
        <w:kinsoku/>
        <w:wordWrap/>
        <w:overflowPunct w:val="0"/>
        <w:topLinePunct w:val="0"/>
        <w:autoSpaceDE/>
        <w:autoSpaceDN/>
        <w:bidi w:val="0"/>
        <w:adjustRightInd/>
        <w:snapToGrid/>
        <w:spacing w:line="240" w:lineRule="auto"/>
        <w:ind w:left="0" w:leftChars="0" w:firstLine="0" w:firstLineChars="0"/>
        <w:jc w:val="center"/>
        <w:textAlignment w:val="auto"/>
        <w:rPr>
          <w:rStyle w:val="15"/>
          <w:rFonts w:hint="eastAsia" w:ascii="Times New Roman" w:hAnsi="Times New Roman" w:eastAsia="宋体" w:cs="宋体"/>
          <w:b/>
          <w:color w:val="auto"/>
          <w:sz w:val="28"/>
          <w:szCs w:val="28"/>
        </w:rPr>
      </w:pPr>
      <w:r>
        <w:rPr>
          <w:rFonts w:hint="eastAsia" w:ascii="Times New Roman" w:hAnsi="Times New Roman" w:eastAsia="宋体" w:cs="宋体"/>
          <w:b/>
          <w:color w:val="auto"/>
          <w:sz w:val="28"/>
          <w:szCs w:val="28"/>
        </w:rPr>
        <w:drawing>
          <wp:inline distT="0" distB="0" distL="0" distR="0">
            <wp:extent cx="4768850" cy="4137660"/>
            <wp:effectExtent l="0" t="0" r="12700" b="15240"/>
            <wp:docPr id="5" name="图片 5" descr="表格&#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表格&#10;&#10;中度可信度描述已自动生成"/>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4196" cy="4151180"/>
                    </a:xfrm>
                    <a:prstGeom prst="rect">
                      <a:avLst/>
                    </a:prstGeom>
                  </pic:spPr>
                </pic:pic>
              </a:graphicData>
            </a:graphic>
          </wp:inline>
        </w:drawing>
      </w:r>
    </w:p>
    <w:p>
      <w:pPr>
        <w:keepNext w:val="0"/>
        <w:keepLines w:val="0"/>
        <w:pageBreakBefore w:val="0"/>
        <w:numPr>
          <w:ilvl w:val="255"/>
          <w:numId w:val="0"/>
        </w:numPr>
        <w:kinsoku/>
        <w:wordWrap/>
        <w:overflowPunct w:val="0"/>
        <w:topLinePunct w:val="0"/>
        <w:autoSpaceDE/>
        <w:autoSpaceDN/>
        <w:bidi w:val="0"/>
        <w:spacing w:line="560" w:lineRule="exact"/>
        <w:ind w:left="0" w:leftChars="0" w:firstLine="560" w:firstLineChars="200"/>
        <w:jc w:val="both"/>
        <w:textAlignment w:val="auto"/>
        <w:outlineLvl w:val="1"/>
        <w:rPr>
          <w:rStyle w:val="15"/>
          <w:rFonts w:hint="eastAsia" w:ascii="Times New Roman" w:hAnsi="Times New Roman" w:eastAsia="宋体" w:cs="宋体"/>
          <w:bCs/>
          <w:color w:val="auto"/>
          <w:sz w:val="28"/>
          <w:szCs w:val="28"/>
        </w:rPr>
      </w:pPr>
      <w:r>
        <w:rPr>
          <w:rStyle w:val="15"/>
          <w:rFonts w:hint="eastAsia" w:ascii="Times New Roman" w:hAnsi="Times New Roman" w:eastAsia="宋体" w:cs="宋体"/>
          <w:bCs/>
          <w:color w:val="auto"/>
          <w:sz w:val="28"/>
          <w:szCs w:val="28"/>
        </w:rPr>
        <w:t>2. 高血糖危象处理</w:t>
      </w:r>
    </w:p>
    <w:p>
      <w:pPr>
        <w:keepNext w:val="0"/>
        <w:keepLines w:val="0"/>
        <w:pageBreakBefore w:val="0"/>
        <w:numPr>
          <w:ilvl w:val="255"/>
          <w:numId w:val="0"/>
        </w:numPr>
        <w:kinsoku/>
        <w:wordWrap/>
        <w:overflowPunct w:val="0"/>
        <w:topLinePunct w:val="0"/>
        <w:autoSpaceDE/>
        <w:autoSpaceDN/>
        <w:bidi w:val="0"/>
        <w:spacing w:line="560" w:lineRule="exact"/>
        <w:ind w:left="0" w:leftChars="0" w:firstLine="560" w:firstLineChars="200"/>
        <w:jc w:val="both"/>
        <w:textAlignment w:val="auto"/>
        <w:rPr>
          <w:rStyle w:val="15"/>
          <w:rFonts w:hint="eastAsia" w:ascii="Times New Roman" w:hAnsi="Times New Roman" w:eastAsia="宋体" w:cs="宋体"/>
          <w:color w:val="auto"/>
          <w:sz w:val="28"/>
          <w:szCs w:val="28"/>
        </w:rPr>
      </w:pPr>
      <w:r>
        <w:rPr>
          <w:rStyle w:val="15"/>
          <w:rFonts w:hint="eastAsia" w:ascii="Times New Roman" w:hAnsi="Times New Roman" w:eastAsia="宋体" w:cs="宋体"/>
          <w:color w:val="auto"/>
          <w:sz w:val="28"/>
          <w:szCs w:val="28"/>
        </w:rPr>
        <w:t>高血糖危象包括2型糖尿病酮症酸中毒（</w:t>
      </w:r>
      <w:r>
        <w:rPr>
          <w:rStyle w:val="17"/>
          <w:rFonts w:hint="eastAsia" w:ascii="Times New Roman" w:hAnsi="Times New Roman" w:eastAsia="宋体" w:cs="宋体"/>
          <w:color w:val="auto"/>
          <w:sz w:val="28"/>
          <w:szCs w:val="28"/>
        </w:rPr>
        <w:t>diabetic ketoacidosis， DKA</w:t>
      </w:r>
      <w:r>
        <w:rPr>
          <w:rStyle w:val="15"/>
          <w:rFonts w:hint="eastAsia" w:ascii="Times New Roman" w:hAnsi="Times New Roman" w:eastAsia="宋体" w:cs="宋体"/>
          <w:color w:val="auto"/>
          <w:sz w:val="28"/>
          <w:szCs w:val="28"/>
        </w:rPr>
        <w:t>）和高血糖高渗状态（</w:t>
      </w:r>
      <w:r>
        <w:rPr>
          <w:rStyle w:val="17"/>
          <w:rFonts w:hint="eastAsia" w:ascii="Times New Roman" w:hAnsi="Times New Roman" w:eastAsia="宋体" w:cs="宋体"/>
          <w:color w:val="auto"/>
          <w:sz w:val="28"/>
          <w:szCs w:val="28"/>
        </w:rPr>
        <w:t>hyperglycemic hyperosmolar status，HHS</w:t>
      </w:r>
      <w:r>
        <w:rPr>
          <w:rStyle w:val="15"/>
          <w:rFonts w:hint="eastAsia" w:ascii="Times New Roman" w:hAnsi="Times New Roman" w:eastAsia="宋体" w:cs="宋体"/>
          <w:color w:val="auto"/>
          <w:sz w:val="28"/>
          <w:szCs w:val="28"/>
        </w:rPr>
        <w:t>）。临床上2型糖尿病患者如出现原因不明的恶心、呕吐、腹痛、酸中毒、脱水、休克、神志改变、昏迷，尤其是呼吸有酮味（烂苹果味）、血压低而尿量多者，且血糖</w:t>
      </w:r>
      <w:r>
        <w:rPr>
          <w:rStyle w:val="17"/>
          <w:rFonts w:hint="eastAsia" w:ascii="Times New Roman" w:hAnsi="Times New Roman" w:eastAsia="宋体" w:cs="宋体"/>
          <w:color w:val="auto"/>
          <w:sz w:val="28"/>
          <w:szCs w:val="28"/>
        </w:rPr>
        <w:t>≥16.7mmol/L</w:t>
      </w:r>
      <w:r>
        <w:rPr>
          <w:rStyle w:val="15"/>
          <w:rFonts w:hint="eastAsia" w:ascii="Times New Roman" w:hAnsi="Times New Roman" w:eastAsia="宋体" w:cs="宋体"/>
          <w:color w:val="auto"/>
          <w:sz w:val="28"/>
          <w:szCs w:val="28"/>
        </w:rPr>
        <w:t>，应考虑高血糖危象，尽快转诊。转诊前推荐建立静脉通道，给予静脉滴注生理盐水补液治疗。</w:t>
      </w:r>
    </w:p>
    <w:p>
      <w:pPr>
        <w:keepNext w:val="0"/>
        <w:keepLines w:val="0"/>
        <w:pageBreakBefore w:val="0"/>
        <w:kinsoku/>
        <w:wordWrap/>
        <w:topLinePunct w:val="0"/>
        <w:autoSpaceDE/>
        <w:autoSpaceDN/>
        <w:bidi w:val="0"/>
        <w:spacing w:line="560" w:lineRule="exact"/>
        <w:ind w:left="0" w:leftChars="0" w:firstLine="562" w:firstLineChars="200"/>
        <w:jc w:val="both"/>
        <w:textAlignment w:val="auto"/>
        <w:rPr>
          <w:rFonts w:hint="eastAsia" w:ascii="Times New Roman" w:hAnsi="Times New Roman" w:eastAsia="宋体" w:cs="宋体"/>
          <w:b/>
          <w:bCs/>
          <w:color w:val="auto"/>
          <w:sz w:val="28"/>
          <w:szCs w:val="28"/>
        </w:rPr>
      </w:pPr>
      <w:r>
        <w:rPr>
          <w:rFonts w:hint="eastAsia" w:ascii="Times New Roman" w:hAnsi="Times New Roman" w:eastAsia="宋体" w:cs="宋体"/>
          <w:b/>
          <w:bCs/>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糖尿病诊疗流程</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社区卫生服务机构承担糖尿病的健康教育、筛查、诊断、治疗及长期随访管理工作，识别出不适合在基层诊治的糖尿病患者并及时转诊。管理的目标是血糖、血压、血脂控制达标，减少并发症的发生，降低致残率和死亡率。对于首次就诊的糖尿病患者，仔细询问病史及进行相关检查，判定糖尿病临床分型；对于不能确定糖尿病分型的患者，建议转诊至上级医院进一步诊治；对糖尿病分型明确的患者进行血糖水平及糖尿病相关并发症的评估，根据评估结果采取个体化干预措施。</w:t>
      </w:r>
    </w:p>
    <w:p>
      <w:pPr>
        <w:keepNext w:val="0"/>
        <w:keepLines w:val="0"/>
        <w:pageBreakBefore w:val="0"/>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sz w:val="28"/>
          <w:szCs w:val="28"/>
        </w:rPr>
      </w:pPr>
      <w:r>
        <w:rPr>
          <w:rFonts w:hint="eastAsia" w:ascii="Times New Roman" w:hAnsi="Times New Roman" w:eastAsia="宋体" w:cs="宋体"/>
          <w:color w:val="auto"/>
          <w:sz w:val="28"/>
          <w:szCs w:val="28"/>
        </w:rPr>
        <w:t>具体诊疗流程</w:t>
      </w:r>
      <w:r>
        <w:rPr>
          <w:rFonts w:hint="eastAsia" w:ascii="Times New Roman" w:hAnsi="Times New Roman" w:eastAsia="宋体" w:cs="宋体"/>
          <w:sz w:val="28"/>
          <w:szCs w:val="28"/>
        </w:rPr>
        <w:t>参见图1</w:t>
      </w:r>
    </w:p>
    <w:p>
      <w:pPr>
        <w:overflowPunct w:val="0"/>
        <w:jc w:val="center"/>
        <w:rPr>
          <w:rFonts w:hint="eastAsia" w:ascii="Times New Roman" w:hAnsi="Times New Roman" w:eastAsia="宋体" w:cs="宋体"/>
          <w:sz w:val="28"/>
          <w:szCs w:val="28"/>
        </w:rPr>
      </w:pPr>
      <w:r>
        <w:rPr>
          <w:rFonts w:hint="eastAsia" w:ascii="Times New Roman" w:hAnsi="Times New Roman" w:eastAsia="宋体" w:cs="宋体"/>
          <w:sz w:val="28"/>
          <w:szCs w:val="28"/>
        </w:rPr>
        <w:drawing>
          <wp:inline distT="0" distB="0" distL="114300" distR="114300">
            <wp:extent cx="5760085" cy="2916555"/>
            <wp:effectExtent l="12700" t="12700" r="18415" b="23495"/>
            <wp:docPr id="12" name="图片 1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示&#10;&#10;描述已自动生成"/>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2916555"/>
                    </a:xfrm>
                    <a:prstGeom prst="rect">
                      <a:avLst/>
                    </a:prstGeom>
                    <a:ln w="12700">
                      <a:solidFill>
                        <a:schemeClr val="tx1"/>
                      </a:solidFill>
                    </a:ln>
                  </pic:spPr>
                </pic:pic>
              </a:graphicData>
            </a:graphic>
          </wp:inline>
        </w:drawing>
      </w:r>
    </w:p>
    <w:p>
      <w:pPr>
        <w:overflowPunct w:val="0"/>
        <w:jc w:val="center"/>
        <w:rPr>
          <w:rFonts w:hint="eastAsia" w:ascii="Times New Roman" w:hAnsi="Times New Roman" w:eastAsia="宋体" w:cs="宋体"/>
          <w:sz w:val="28"/>
          <w:szCs w:val="28"/>
        </w:rPr>
      </w:pPr>
    </w:p>
    <w:p>
      <w:pPr>
        <w:overflowPunct w:val="0"/>
        <w:jc w:val="center"/>
        <w:rPr>
          <w:rFonts w:hint="eastAsia" w:ascii="Times New Roman" w:hAnsi="Times New Roman" w:eastAsia="宋体" w:cs="宋体"/>
          <w:sz w:val="28"/>
          <w:szCs w:val="28"/>
        </w:rPr>
      </w:pPr>
    </w:p>
    <w:p>
      <w:pPr>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糖尿病家医签约服务项目清单（参考版）</w:t>
      </w:r>
    </w:p>
    <w:tbl>
      <w:tblPr>
        <w:tblStyle w:val="9"/>
        <w:tblW w:w="4997"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89"/>
        <w:gridCol w:w="1515"/>
        <w:gridCol w:w="4838"/>
        <w:gridCol w:w="17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640"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专病类别</w:t>
            </w:r>
          </w:p>
        </w:tc>
        <w:tc>
          <w:tcPr>
            <w:tcW w:w="816"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服务项目</w:t>
            </w:r>
          </w:p>
        </w:tc>
        <w:tc>
          <w:tcPr>
            <w:tcW w:w="260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主要服务内容</w:t>
            </w:r>
          </w:p>
        </w:tc>
        <w:tc>
          <w:tcPr>
            <w:tcW w:w="93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收费标准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0"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 xml:space="preserve">糖尿病 </w:t>
            </w:r>
          </w:p>
        </w:tc>
        <w:tc>
          <w:tcPr>
            <w:tcW w:w="81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1.预约服务</w:t>
            </w:r>
          </w:p>
        </w:tc>
        <w:tc>
          <w:tcPr>
            <w:tcW w:w="2605"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预约服务模式：诊室医生PC端、电话、手机APP等。预约服务项目：挂号、各种检查、疾病诊疗、预防接种、健康管理、出诊、建立家庭病床等。</w:t>
            </w:r>
          </w:p>
        </w:tc>
        <w:tc>
          <w:tcPr>
            <w:tcW w:w="93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免费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0" w:type="pct"/>
            <w:vMerge w:val="continue"/>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b/>
                <w:bCs/>
                <w:color w:val="000000"/>
                <w:kern w:val="0"/>
                <w:sz w:val="24"/>
                <w:szCs w:val="24"/>
              </w:rPr>
            </w:pPr>
          </w:p>
        </w:tc>
        <w:tc>
          <w:tcPr>
            <w:tcW w:w="81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2.健康监测</w:t>
            </w:r>
          </w:p>
        </w:tc>
        <w:tc>
          <w:tcPr>
            <w:tcW w:w="2605"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健康小屋提供身高、体重、BMI、血压、血糖、身体成分分析、心电自测等健康检测。</w:t>
            </w:r>
          </w:p>
        </w:tc>
        <w:tc>
          <w:tcPr>
            <w:tcW w:w="93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收取家庭医生签约服务费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0" w:type="pct"/>
            <w:vMerge w:val="continue"/>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b/>
                <w:bCs/>
                <w:color w:val="000000"/>
                <w:kern w:val="0"/>
                <w:sz w:val="24"/>
                <w:szCs w:val="24"/>
              </w:rPr>
            </w:pPr>
          </w:p>
        </w:tc>
        <w:tc>
          <w:tcPr>
            <w:tcW w:w="81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3.建立健康档案</w:t>
            </w:r>
          </w:p>
        </w:tc>
        <w:tc>
          <w:tcPr>
            <w:tcW w:w="2605"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为居民建立健康档案，将基本信息和健康监测信息录入，实施动态管理维护；居民档案自助查询</w:t>
            </w:r>
          </w:p>
        </w:tc>
        <w:tc>
          <w:tcPr>
            <w:tcW w:w="93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免费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0" w:type="pct"/>
            <w:vMerge w:val="continue"/>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b/>
                <w:bCs/>
                <w:color w:val="000000"/>
                <w:kern w:val="0"/>
                <w:sz w:val="24"/>
                <w:szCs w:val="24"/>
              </w:rPr>
            </w:pPr>
          </w:p>
        </w:tc>
        <w:tc>
          <w:tcPr>
            <w:tcW w:w="81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4.健康信息推送</w:t>
            </w:r>
          </w:p>
        </w:tc>
        <w:tc>
          <w:tcPr>
            <w:tcW w:w="2605"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利用微信、短息、APP 等信息化手段，定期发送随访提醒服务、个性化健康教育等信息。</w:t>
            </w:r>
          </w:p>
        </w:tc>
        <w:tc>
          <w:tcPr>
            <w:tcW w:w="93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收取家庭医生签约服务费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0" w:type="pct"/>
            <w:vMerge w:val="continue"/>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b/>
                <w:bCs/>
                <w:color w:val="000000"/>
                <w:kern w:val="0"/>
                <w:sz w:val="24"/>
                <w:szCs w:val="24"/>
              </w:rPr>
            </w:pPr>
          </w:p>
        </w:tc>
        <w:tc>
          <w:tcPr>
            <w:tcW w:w="81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5.签订家医协议</w:t>
            </w:r>
          </w:p>
        </w:tc>
        <w:tc>
          <w:tcPr>
            <w:tcW w:w="2605"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居民选择家庭医生签订协议；医生告知签约服务的具体事项、权益、责任和服务项目、服务周期，可弹性签约、预约转诊、老年人1+1医保基金优惠等。</w:t>
            </w:r>
          </w:p>
        </w:tc>
        <w:tc>
          <w:tcPr>
            <w:tcW w:w="93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收取家庭医生签约服务费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0" w:type="pct"/>
            <w:vMerge w:val="continue"/>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b/>
                <w:bCs/>
                <w:color w:val="000000"/>
                <w:kern w:val="0"/>
                <w:sz w:val="24"/>
                <w:szCs w:val="24"/>
              </w:rPr>
            </w:pPr>
          </w:p>
        </w:tc>
        <w:tc>
          <w:tcPr>
            <w:tcW w:w="81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6.基本诊疗服务</w:t>
            </w:r>
          </w:p>
        </w:tc>
        <w:tc>
          <w:tcPr>
            <w:tcW w:w="2605"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在完成1-4项基础上，提供定向分诊，1对1诊疗服务（一医一患一诊室）问诊、检查、诊断、治疗、用药指导、会诊、转诊、病情告知、健康管理等服务。</w:t>
            </w:r>
          </w:p>
        </w:tc>
        <w:tc>
          <w:tcPr>
            <w:tcW w:w="93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执行医保收费标准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0" w:type="pct"/>
            <w:vMerge w:val="continue"/>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b/>
                <w:bCs/>
                <w:color w:val="000000"/>
                <w:kern w:val="0"/>
                <w:sz w:val="24"/>
                <w:szCs w:val="24"/>
              </w:rPr>
            </w:pPr>
          </w:p>
        </w:tc>
        <w:tc>
          <w:tcPr>
            <w:tcW w:w="81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7.转诊会诊服务</w:t>
            </w:r>
          </w:p>
        </w:tc>
        <w:tc>
          <w:tcPr>
            <w:tcW w:w="2605"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通过“基层卫生预约转诊服务平台”预约区域内三级医院预留号源,优先提供专家诊疗，会诊、转诊、点对点咨询及个性化治疗方案等。</w:t>
            </w:r>
          </w:p>
        </w:tc>
        <w:tc>
          <w:tcPr>
            <w:tcW w:w="93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执行医保收费标准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0" w:type="pct"/>
            <w:vMerge w:val="continue"/>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b/>
                <w:bCs/>
                <w:color w:val="000000"/>
                <w:kern w:val="0"/>
                <w:sz w:val="24"/>
                <w:szCs w:val="24"/>
              </w:rPr>
            </w:pPr>
          </w:p>
        </w:tc>
        <w:tc>
          <w:tcPr>
            <w:tcW w:w="81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8.长期处方服务</w:t>
            </w:r>
          </w:p>
        </w:tc>
        <w:tc>
          <w:tcPr>
            <w:tcW w:w="2605"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对签约患者符合纳入医保慢性病长期处方管理的病种（1）视病情稳定情况可开具4-12周的长期处方（2）指导患者合理用药、注意不良反应、定期监测及药品保存等信息。</w:t>
            </w:r>
          </w:p>
        </w:tc>
        <w:tc>
          <w:tcPr>
            <w:tcW w:w="93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收取家庭医生签约服务费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0" w:type="pct"/>
            <w:vMerge w:val="continue"/>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b/>
                <w:bCs/>
                <w:color w:val="000000"/>
                <w:kern w:val="0"/>
                <w:sz w:val="24"/>
                <w:szCs w:val="24"/>
              </w:rPr>
            </w:pPr>
          </w:p>
        </w:tc>
        <w:tc>
          <w:tcPr>
            <w:tcW w:w="81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9.药品需求登记服务</w:t>
            </w:r>
          </w:p>
        </w:tc>
        <w:tc>
          <w:tcPr>
            <w:tcW w:w="2605"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对符合医保和基药规定且在基层医疗机构范围内使用的药品，机构可提供需求登记服务。</w:t>
            </w:r>
          </w:p>
        </w:tc>
        <w:tc>
          <w:tcPr>
            <w:tcW w:w="93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收取家庭医生签约服务费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0" w:type="pct"/>
            <w:vMerge w:val="continue"/>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b/>
                <w:bCs/>
                <w:color w:val="000000"/>
                <w:kern w:val="0"/>
                <w:sz w:val="24"/>
                <w:szCs w:val="24"/>
              </w:rPr>
            </w:pPr>
          </w:p>
        </w:tc>
        <w:tc>
          <w:tcPr>
            <w:tcW w:w="81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10.处方延伸服务</w:t>
            </w:r>
          </w:p>
        </w:tc>
        <w:tc>
          <w:tcPr>
            <w:tcW w:w="2605"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经家庭医生转诊至上级医院的签约居民，再回社区就诊时，可延用上级医院专科医生开具的处方。</w:t>
            </w:r>
          </w:p>
        </w:tc>
        <w:tc>
          <w:tcPr>
            <w:tcW w:w="93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收取家庭医生签约服务费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0" w:type="pct"/>
            <w:vMerge w:val="continue"/>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b/>
                <w:bCs/>
                <w:color w:val="000000"/>
                <w:kern w:val="0"/>
                <w:sz w:val="24"/>
                <w:szCs w:val="24"/>
              </w:rPr>
            </w:pPr>
          </w:p>
        </w:tc>
        <w:tc>
          <w:tcPr>
            <w:tcW w:w="81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11.送药上门</w:t>
            </w:r>
          </w:p>
        </w:tc>
        <w:tc>
          <w:tcPr>
            <w:tcW w:w="2605"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对符合条件的签约居民签署“送药上门服务协议书”后，可提供送药上门服务，第三方医药物流服务商可提供慢性病处方药品配送上门服务。</w:t>
            </w:r>
          </w:p>
        </w:tc>
        <w:tc>
          <w:tcPr>
            <w:tcW w:w="93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执行医保收费标准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40" w:type="pct"/>
            <w:vMerge w:val="continue"/>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b/>
                <w:bCs/>
                <w:color w:val="000000"/>
                <w:kern w:val="0"/>
                <w:sz w:val="24"/>
                <w:szCs w:val="24"/>
              </w:rPr>
            </w:pPr>
          </w:p>
        </w:tc>
        <w:tc>
          <w:tcPr>
            <w:tcW w:w="816"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12.互联网诊疗服务</w:t>
            </w:r>
          </w:p>
        </w:tc>
        <w:tc>
          <w:tcPr>
            <w:tcW w:w="2605"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利用网站、手机应用程序等媒介信息技术提供以下服务：</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（1）部分常见病、慢性病在线复诊</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（2）在线提供健康咨询、预约转诊、慢性病随访、健康管理等服务。</w:t>
            </w:r>
          </w:p>
        </w:tc>
        <w:tc>
          <w:tcPr>
            <w:tcW w:w="937"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免费或执行医保收费标准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40" w:type="pct"/>
            <w:vMerge w:val="continue"/>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b/>
                <w:bCs/>
                <w:color w:val="000000"/>
                <w:kern w:val="0"/>
                <w:sz w:val="24"/>
                <w:szCs w:val="24"/>
              </w:rPr>
            </w:pPr>
          </w:p>
        </w:tc>
        <w:tc>
          <w:tcPr>
            <w:tcW w:w="816" w:type="pct"/>
            <w:vMerge w:val="continue"/>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p>
        </w:tc>
        <w:tc>
          <w:tcPr>
            <w:tcW w:w="260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p>
        </w:tc>
        <w:tc>
          <w:tcPr>
            <w:tcW w:w="937" w:type="pct"/>
            <w:vMerge w:val="continue"/>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0" w:type="pct"/>
            <w:vMerge w:val="continue"/>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b/>
                <w:bCs/>
                <w:color w:val="000000"/>
                <w:kern w:val="0"/>
                <w:sz w:val="24"/>
                <w:szCs w:val="24"/>
              </w:rPr>
            </w:pPr>
          </w:p>
        </w:tc>
        <w:tc>
          <w:tcPr>
            <w:tcW w:w="81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13.中医服务</w:t>
            </w:r>
          </w:p>
        </w:tc>
        <w:tc>
          <w:tcPr>
            <w:tcW w:w="2605"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开展中医体质辨识，制定个性化中医健康调养方案，给予中医调理治疗，提供健康干预服务。</w:t>
            </w:r>
          </w:p>
        </w:tc>
        <w:tc>
          <w:tcPr>
            <w:tcW w:w="93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执行医保收费标准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0" w:type="pct"/>
            <w:vMerge w:val="continue"/>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b/>
                <w:bCs/>
                <w:color w:val="000000"/>
                <w:kern w:val="0"/>
                <w:sz w:val="24"/>
                <w:szCs w:val="24"/>
              </w:rPr>
            </w:pPr>
          </w:p>
        </w:tc>
        <w:tc>
          <w:tcPr>
            <w:tcW w:w="81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14.出诊服务</w:t>
            </w:r>
          </w:p>
        </w:tc>
        <w:tc>
          <w:tcPr>
            <w:tcW w:w="2605"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xml:space="preserve">根据病情，提供诊疗、护理、康复治疗、药学、安宁疗护、中医等上门医疗服务。                              </w:t>
            </w:r>
          </w:p>
        </w:tc>
        <w:tc>
          <w:tcPr>
            <w:tcW w:w="93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执行医保收费标准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0" w:type="pct"/>
            <w:vMerge w:val="continue"/>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b/>
                <w:bCs/>
                <w:color w:val="000000"/>
                <w:kern w:val="0"/>
                <w:sz w:val="24"/>
                <w:szCs w:val="24"/>
              </w:rPr>
            </w:pPr>
          </w:p>
        </w:tc>
        <w:tc>
          <w:tcPr>
            <w:tcW w:w="81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15.家庭病床服务</w:t>
            </w:r>
          </w:p>
        </w:tc>
        <w:tc>
          <w:tcPr>
            <w:tcW w:w="2605"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对符合建床条件的患者提供家庭病床服务,签订建床协议,提供适宜在家开展的服务项目,包括：基本诊疗服务、护理服务、检验抽血、家庭康复训练和指导、定期上门查床、病晚期舒缓性照顾、个性化健康指导等。</w:t>
            </w:r>
          </w:p>
        </w:tc>
        <w:tc>
          <w:tcPr>
            <w:tcW w:w="93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执行医保收费标准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0" w:type="pct"/>
            <w:vMerge w:val="continue"/>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b/>
                <w:bCs/>
                <w:color w:val="000000"/>
                <w:kern w:val="0"/>
                <w:sz w:val="24"/>
                <w:szCs w:val="24"/>
              </w:rPr>
            </w:pPr>
          </w:p>
        </w:tc>
        <w:tc>
          <w:tcPr>
            <w:tcW w:w="81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16.糖尿病个性化健康管理</w:t>
            </w:r>
          </w:p>
        </w:tc>
        <w:tc>
          <w:tcPr>
            <w:tcW w:w="2605"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每年提供一次健康状况评估，出具评估报告，制定健康计划，并给予个性化的健康指导。检查项目包括：（1）全面体格检查（2）辅助检查：血常规、尿常规、空腹血糖、HbA1c、血脂、肝功能、胰岛素功能、C肽、心电图（3）相关并发症检查：眼底照相、肾功能检测、尿微量白蛋白检测、颈动脉超声、动脉硬化检测、腓肠神经传导速度和振幅检测、感觉神经检查（4）风险评估：10年内缺血性卒中风险评估、MACE事件（主要心血管不良事件）评估以及年度综合评估（5）糖尿病自我管理手册指导。</w:t>
            </w:r>
          </w:p>
        </w:tc>
        <w:tc>
          <w:tcPr>
            <w:tcW w:w="93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执行医保收费标准</w:t>
            </w:r>
          </w:p>
        </w:tc>
      </w:tr>
    </w:tbl>
    <w:p>
      <w:pPr>
        <w:keepNext w:val="0"/>
        <w:keepLines w:val="0"/>
        <w:pageBreakBefore w:val="0"/>
        <w:kinsoku/>
        <w:wordWrap/>
        <w:overflowPunct w:val="0"/>
        <w:topLinePunct w:val="0"/>
        <w:bidi w:val="0"/>
        <w:spacing w:line="560" w:lineRule="exact"/>
        <w:ind w:left="0" w:leftChars="0" w:firstLine="560" w:firstLineChars="200"/>
        <w:jc w:val="center"/>
        <w:textAlignment w:val="auto"/>
        <w:rPr>
          <w:rFonts w:hint="eastAsia" w:ascii="Times New Roman" w:hAnsi="Times New Roman" w:eastAsia="宋体" w:cs="宋体"/>
          <w:sz w:val="28"/>
          <w:szCs w:val="28"/>
        </w:rPr>
      </w:pPr>
    </w:p>
    <w:sectPr>
      <w:headerReference r:id="rId3" w:type="default"/>
      <w:footerReference r:id="rId5" w:type="default"/>
      <w:headerReference r:id="rId4" w:type="even"/>
      <w:footerReference r:id="rId6" w:type="even"/>
      <w:pgSz w:w="11906" w:h="16838"/>
      <w:pgMar w:top="1531" w:right="1417" w:bottom="1417" w:left="1417" w:header="907" w:footer="992" w:gutter="0"/>
      <w:pgNumType w:fmt="decimal" w:start="1"/>
      <w:cols w:space="0" w:num="1"/>
      <w:rtlGutter w:val="0"/>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ZSSK--GBK1-0">
    <w:altName w:val="Times New Roman"/>
    <w:panose1 w:val="00000000000000000000"/>
    <w:charset w:val="00"/>
    <w:family w:val="roman"/>
    <w:pitch w:val="default"/>
    <w:sig w:usb0="00000000" w:usb1="00000000" w:usb2="00000010" w:usb3="00000000" w:csb0="00040000" w:csb1="00000000"/>
  </w:font>
  <w:font w:name="NEU-BZ-Regular">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S PGothic">
    <w:panose1 w:val="020B0600070205080204"/>
    <w:charset w:val="80"/>
    <w:family w:val="auto"/>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6835" cy="17526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76835" cy="175260"/>
                      </a:xfrm>
                      <a:prstGeom prst="rect">
                        <a:avLst/>
                      </a:prstGeom>
                      <a:noFill/>
                      <a:ln w="6350">
                        <a:noFill/>
                      </a:ln>
                    </wps:spPr>
                    <wps:txbx>
                      <w:txbxContent>
                        <w:p>
                          <w:pPr>
                            <w:pStyle w:val="6"/>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31</w:t>
                          </w:r>
                          <w:r>
                            <w:rPr>
                              <w:rFonts w:hint="eastAsia" w:ascii="Times New Roman" w:hAnsi="Times New Roman" w:cs="Times New Roman"/>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3.8pt;width:6.05pt;mso-position-horizontal:center;mso-position-horizontal-relative:margin;mso-wrap-style:none;z-index:251660288;mso-width-relative:page;mso-height-relative:page;" filled="f" stroked="f" coordsize="21600,21600" o:gfxdata="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OgDTdEAAAADAQAADwAAAAAAAAABACAAAAAiAAAAZHJzL2Rvd25yZXYueG1sUEsBAhQAFAAA&#10;AAgAh07iQGGVB0ovAgAAVAQAAA4AAAAAAAAAAQAgAAAAIAEAAGRycy9lMm9Eb2MueG1sUEsFBgAA&#10;AAAGAAYAWQEAAMEFAAAAAA==&#10;">
              <v:fill on="f" focussize="0,0"/>
              <v:stroke on="f" weight="0.5pt"/>
              <v:imagedata o:title=""/>
              <o:lock v:ext="edit" aspectratio="f"/>
              <v:textbox inset="0mm,0mm,0mm,0mm" style="mso-fit-shape-to-text:t;">
                <w:txbxContent>
                  <w:p>
                    <w:pPr>
                      <w:pStyle w:val="6"/>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31</w:t>
                    </w:r>
                    <w:r>
                      <w:rPr>
                        <w:rFonts w:hint="eastAsia" w:ascii="Times New Roman" w:hAnsi="Times New Roman" w:cs="Times New Roman"/>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76835" cy="17526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76835" cy="175260"/>
                      </a:xfrm>
                      <a:prstGeom prst="rect">
                        <a:avLst/>
                      </a:prstGeom>
                      <a:noFill/>
                      <a:ln w="6350">
                        <a:noFill/>
                      </a:ln>
                    </wps:spPr>
                    <wps:txbx>
                      <w:txbxContent>
                        <w:p>
                          <w:pPr>
                            <w:pStyle w:val="6"/>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32</w:t>
                          </w:r>
                          <w:r>
                            <w:rPr>
                              <w:rFonts w:hint="eastAsia" w:ascii="Times New Roman" w:hAnsi="Times New Roman" w:cs="Times New Roman"/>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3.8pt;width:6.05pt;mso-position-horizontal:center;mso-position-horizontal-relative:margin;mso-wrap-style:none;z-index:251661312;mso-width-relative:page;mso-height-relative:page;" filled="f" stroked="f" coordsize="21600,21600" o:gfxdata="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zoA03RAAAAAwEAAA8AAAAAAAAAAQAgAAAAIgAAAGRycy9kb3ducmV2LnhtbFBLAQIUABQA&#10;AAAIAIdO4kBKgm1IMAIAAFQEAAAOAAAAAAAAAAEAIAAAACABAABkcnMvZTJvRG9jLnhtbFBLBQYA&#10;AAAABgAGAFkBAADCBQAAAAA=&#10;">
              <v:fill on="f" focussize="0,0"/>
              <v:stroke on="f" weight="0.5pt"/>
              <v:imagedata o:title=""/>
              <o:lock v:ext="edit" aspectratio="f"/>
              <v:textbox inset="0mm,0mm,0mm,0mm" style="mso-fit-shape-to-text:t;">
                <w:txbxContent>
                  <w:p>
                    <w:pPr>
                      <w:pStyle w:val="6"/>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32</w:t>
                    </w:r>
                    <w:r>
                      <w:rPr>
                        <w:rFonts w:hint="eastAsia" w:ascii="Times New Roman" w:hAnsi="Times New Roman" w:cs="Times New Roman"/>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single" w:color="auto" w:sz="6" w:space="1"/>
        <w:right w:val="none" w:color="auto" w:sz="0" w:space="0"/>
      </w:pBdr>
      <w:jc w:val="right"/>
      <w:rPr>
        <w:sz w:val="18"/>
        <w:szCs w:val="18"/>
      </w:rPr>
    </w:pPr>
    <w:r>
      <w:rPr>
        <w:rFonts w:hint="eastAsia"/>
        <w:sz w:val="18"/>
        <w:szCs w:val="18"/>
        <w:lang w:val="en-US" w:eastAsia="zh-CN"/>
      </w:rPr>
      <w:t>糖尿病</w:t>
    </w:r>
    <w:r>
      <w:rPr>
        <w:rFonts w:hint="eastAsia"/>
        <w:sz w:val="18"/>
        <w:szCs w:val="18"/>
      </w:rPr>
      <w:t>专病特色科室建设培训资料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single" w:color="auto" w:sz="6" w:space="1"/>
        <w:right w:val="none" w:color="auto" w:sz="0" w:space="0"/>
      </w:pBdr>
      <w:jc w:val="left"/>
      <w:rPr>
        <w:sz w:val="18"/>
        <w:szCs w:val="18"/>
      </w:rPr>
    </w:pPr>
    <w:r>
      <w:rPr>
        <w:rFonts w:hint="eastAsia"/>
        <w:sz w:val="18"/>
        <w:szCs w:val="18"/>
        <w:lang w:val="en-US" w:eastAsia="zh-CN"/>
      </w:rPr>
      <w:t>糖尿病</w:t>
    </w:r>
    <w:r>
      <w:rPr>
        <w:rFonts w:hint="eastAsia"/>
        <w:sz w:val="18"/>
        <w:szCs w:val="18"/>
      </w:rPr>
      <w:t>专病特色科室建设培训资料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084186"/>
    <w:multiLevelType w:val="singleLevel"/>
    <w:tmpl w:val="ED084186"/>
    <w:lvl w:ilvl="0" w:tentative="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jY2FlNDZiZTgyYWE2MTcyZjQ4NTg1NzMxM2Q0NzEifQ=="/>
  </w:docVars>
  <w:rsids>
    <w:rsidRoot w:val="74AA6B87"/>
    <w:rsid w:val="001268D5"/>
    <w:rsid w:val="001471FB"/>
    <w:rsid w:val="002D0545"/>
    <w:rsid w:val="003B6800"/>
    <w:rsid w:val="003D72B7"/>
    <w:rsid w:val="004168C8"/>
    <w:rsid w:val="00481BE6"/>
    <w:rsid w:val="00573DAF"/>
    <w:rsid w:val="00590C84"/>
    <w:rsid w:val="00617B14"/>
    <w:rsid w:val="006E6772"/>
    <w:rsid w:val="007720BF"/>
    <w:rsid w:val="009C151D"/>
    <w:rsid w:val="00A52EA4"/>
    <w:rsid w:val="00A65D8A"/>
    <w:rsid w:val="00B66EEE"/>
    <w:rsid w:val="00BD0EF6"/>
    <w:rsid w:val="00C666C5"/>
    <w:rsid w:val="00E04B44"/>
    <w:rsid w:val="025E7EA7"/>
    <w:rsid w:val="02865AD9"/>
    <w:rsid w:val="03575DC1"/>
    <w:rsid w:val="05DE3E94"/>
    <w:rsid w:val="05FE76FE"/>
    <w:rsid w:val="06B73D0F"/>
    <w:rsid w:val="08BD5F9B"/>
    <w:rsid w:val="093733C9"/>
    <w:rsid w:val="0BF15B73"/>
    <w:rsid w:val="0DC93433"/>
    <w:rsid w:val="108A4DAC"/>
    <w:rsid w:val="10CF52A2"/>
    <w:rsid w:val="124C3787"/>
    <w:rsid w:val="13A00313"/>
    <w:rsid w:val="13AB4CE7"/>
    <w:rsid w:val="152833ED"/>
    <w:rsid w:val="16FC41D7"/>
    <w:rsid w:val="17C513BB"/>
    <w:rsid w:val="197329E7"/>
    <w:rsid w:val="1980271F"/>
    <w:rsid w:val="1A116239"/>
    <w:rsid w:val="1D1B4946"/>
    <w:rsid w:val="1EA53640"/>
    <w:rsid w:val="1EF73ED4"/>
    <w:rsid w:val="1F7F5F01"/>
    <w:rsid w:val="20F35F51"/>
    <w:rsid w:val="22AD4BE9"/>
    <w:rsid w:val="238435F7"/>
    <w:rsid w:val="243B76D1"/>
    <w:rsid w:val="24610BA9"/>
    <w:rsid w:val="285E20EE"/>
    <w:rsid w:val="28B74C85"/>
    <w:rsid w:val="2B23292A"/>
    <w:rsid w:val="2BFF63EA"/>
    <w:rsid w:val="2EE84298"/>
    <w:rsid w:val="2FDF5173"/>
    <w:rsid w:val="305C51FF"/>
    <w:rsid w:val="318B35BD"/>
    <w:rsid w:val="31EA40DF"/>
    <w:rsid w:val="323805E9"/>
    <w:rsid w:val="330D6E01"/>
    <w:rsid w:val="33A335A2"/>
    <w:rsid w:val="342B50ED"/>
    <w:rsid w:val="34BD5AF9"/>
    <w:rsid w:val="35D57C75"/>
    <w:rsid w:val="386517BC"/>
    <w:rsid w:val="3AB331C1"/>
    <w:rsid w:val="3B9D30EF"/>
    <w:rsid w:val="3BA671D8"/>
    <w:rsid w:val="3C584DD7"/>
    <w:rsid w:val="3F5869A2"/>
    <w:rsid w:val="3F6D046C"/>
    <w:rsid w:val="404C6E0B"/>
    <w:rsid w:val="41032FCA"/>
    <w:rsid w:val="44FB6B77"/>
    <w:rsid w:val="45C8634C"/>
    <w:rsid w:val="463A3BB9"/>
    <w:rsid w:val="47914739"/>
    <w:rsid w:val="47E42577"/>
    <w:rsid w:val="4A6D57BB"/>
    <w:rsid w:val="4A931A68"/>
    <w:rsid w:val="4ABC5D53"/>
    <w:rsid w:val="4BB035FD"/>
    <w:rsid w:val="4BB63D72"/>
    <w:rsid w:val="4BBC5559"/>
    <w:rsid w:val="4DD104BC"/>
    <w:rsid w:val="4E714B37"/>
    <w:rsid w:val="5034222E"/>
    <w:rsid w:val="517F7502"/>
    <w:rsid w:val="51B61316"/>
    <w:rsid w:val="525D535F"/>
    <w:rsid w:val="536D7E1F"/>
    <w:rsid w:val="5B3E2781"/>
    <w:rsid w:val="5B8027F4"/>
    <w:rsid w:val="5C9C5E5E"/>
    <w:rsid w:val="5CB17475"/>
    <w:rsid w:val="5E3D7492"/>
    <w:rsid w:val="5E587085"/>
    <w:rsid w:val="5EA50343"/>
    <w:rsid w:val="5EB249A8"/>
    <w:rsid w:val="5F996A65"/>
    <w:rsid w:val="60EA4857"/>
    <w:rsid w:val="643C67C8"/>
    <w:rsid w:val="64AC1058"/>
    <w:rsid w:val="65771E8E"/>
    <w:rsid w:val="664F5FCC"/>
    <w:rsid w:val="678B36AE"/>
    <w:rsid w:val="68F765C2"/>
    <w:rsid w:val="6BB346D4"/>
    <w:rsid w:val="6CB93DB8"/>
    <w:rsid w:val="6FF42DAC"/>
    <w:rsid w:val="6FF600F2"/>
    <w:rsid w:val="70210670"/>
    <w:rsid w:val="706975BF"/>
    <w:rsid w:val="71212B25"/>
    <w:rsid w:val="72A16A6E"/>
    <w:rsid w:val="73695CCB"/>
    <w:rsid w:val="73F078BB"/>
    <w:rsid w:val="74AA6B87"/>
    <w:rsid w:val="75122761"/>
    <w:rsid w:val="759C6138"/>
    <w:rsid w:val="75E05508"/>
    <w:rsid w:val="76B054A7"/>
    <w:rsid w:val="786646C8"/>
    <w:rsid w:val="78815712"/>
    <w:rsid w:val="7CD41475"/>
    <w:rsid w:val="7E756785"/>
    <w:rsid w:val="7F231E2C"/>
    <w:rsid w:val="7FBC3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line="390" w:lineRule="atLeast"/>
      <w:jc w:val="left"/>
      <w:outlineLvl w:val="0"/>
    </w:pPr>
    <w:rPr>
      <w:rFonts w:ascii="微软雅黑" w:hAnsi="微软雅黑" w:eastAsia="微软雅黑" w:cs="宋体"/>
      <w:b/>
      <w:bCs/>
      <w:kern w:val="36"/>
      <w:sz w:val="24"/>
      <w:szCs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rPr>
      <w:rFonts w:ascii="Times New Roman" w:hAnsi="Times New Roman" w:eastAsia="宋体" w:cs="Times New Roman"/>
      <w:szCs w:val="24"/>
    </w:rPr>
  </w:style>
  <w:style w:type="paragraph" w:styleId="4">
    <w:name w:val="Body Text"/>
    <w:basedOn w:val="1"/>
    <w:qFormat/>
    <w:uiPriority w:val="1"/>
    <w:pPr>
      <w:autoSpaceDE w:val="0"/>
      <w:autoSpaceDN w:val="0"/>
      <w:jc w:val="left"/>
    </w:pPr>
    <w:rPr>
      <w:rFonts w:ascii="宋体" w:hAnsi="宋体" w:eastAsia="宋体" w:cs="宋体"/>
      <w:kern w:val="0"/>
      <w:sz w:val="18"/>
      <w:szCs w:val="18"/>
      <w:lang w:eastAsia="en-US" w:bidi="en-US"/>
    </w:r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paragraph" w:styleId="13">
    <w:name w:val="List Paragraph"/>
    <w:basedOn w:val="1"/>
    <w:qFormat/>
    <w:uiPriority w:val="34"/>
    <w:pPr>
      <w:ind w:firstLine="420" w:firstLineChars="200"/>
    </w:pPr>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5">
    <w:name w:val="fontstyle01"/>
    <w:basedOn w:val="11"/>
    <w:qFormat/>
    <w:uiPriority w:val="0"/>
    <w:rPr>
      <w:rFonts w:hint="default" w:ascii="FZSSK--GBK1-0" w:hAnsi="FZSSK--GBK1-0"/>
      <w:color w:val="242021"/>
      <w:sz w:val="22"/>
      <w:szCs w:val="22"/>
    </w:rPr>
  </w:style>
  <w:style w:type="table" w:customStyle="1" w:styleId="16">
    <w:name w:val="网格型浅色1"/>
    <w:basedOn w:val="9"/>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17">
    <w:name w:val="fontstyle11"/>
    <w:basedOn w:val="11"/>
    <w:qFormat/>
    <w:uiPriority w:val="0"/>
    <w:rPr>
      <w:rFonts w:hint="default" w:ascii="NEU-BZ-Regular" w:hAnsi="NEU-BZ-Regular"/>
      <w:color w:val="242021"/>
      <w:sz w:val="18"/>
      <w:szCs w:val="18"/>
    </w:rPr>
  </w:style>
  <w:style w:type="character" w:customStyle="1" w:styleId="18">
    <w:name w:val="批注框文本 字符"/>
    <w:basedOn w:val="11"/>
    <w:link w:val="5"/>
    <w:qFormat/>
    <w:uiPriority w:val="0"/>
    <w:rPr>
      <w:kern w:val="2"/>
      <w:sz w:val="18"/>
      <w:szCs w:val="18"/>
    </w:rPr>
  </w:style>
  <w:style w:type="paragraph" w:customStyle="1" w:styleId="19">
    <w:name w:val="Revision"/>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20">
    <w:name w:val="纯文本1"/>
    <w:basedOn w:val="1"/>
    <w:qFormat/>
    <w:uiPriority w:val="0"/>
    <w:rPr>
      <w:rFonts w:ascii="宋体" w:hAnsi="Courier New" w:eastAsia="宋体" w:cs="Courier New"/>
      <w:szCs w:val="21"/>
    </w:rPr>
  </w:style>
  <w:style w:type="paragraph" w:customStyle="1" w:styleId="21">
    <w:name w:val="列表段落1"/>
    <w:basedOn w:val="1"/>
    <w:qFormat/>
    <w:uiPriority w:val="34"/>
    <w:pPr>
      <w:ind w:firstLine="420" w:firstLineChars="200"/>
    </w:pPr>
  </w:style>
  <w:style w:type="paragraph" w:customStyle="1" w:styleId="22">
    <w:name w:val="列出段落1"/>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9525" cap="flat" cmpd="sng">
          <a:solidFill>
            <a:srgbClr val="000000"/>
          </a:solidFill>
          <a:prstDash val="solid"/>
          <a:headEnd type="none" w="med" len="med"/>
          <a:tailEnd type="none" w="med" len="med"/>
        </a:ln>
      </a:spPr>
      <a:bodyPr upright="1"/>
      <a:lst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8727</Words>
  <Characters>9113</Characters>
  <Lines>117</Lines>
  <Paragraphs>33</Paragraphs>
  <TotalTime>1</TotalTime>
  <ScaleCrop>false</ScaleCrop>
  <LinksUpToDate>false</LinksUpToDate>
  <CharactersWithSpaces>9309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2022-08-22T02:44:00Z</dcterms:created>
  <dc:creator>Administrator</dc:creator>
  <cp:lastModifiedBy>HP</cp:lastModifiedBy>
  <cp:lastPrinted>2022-09-29T06:56:00Z</cp:lastPrinted>
  <dcterms:modified xsi:type="dcterms:W3CDTF">2022-10-05T09:38:29Z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27D7438E74984C2989A8193995A576D1</vt:lpwstr>
  </property>
</Properties>
</file>